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1F7A9">
      <w:pPr>
        <w:spacing w:line="600" w:lineRule="exact"/>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免处罚清单</w:t>
      </w:r>
    </w:p>
    <w:p w14:paraId="63982617">
      <w:pPr>
        <w:spacing w:line="600" w:lineRule="exact"/>
        <w:rPr>
          <w:rFonts w:ascii="仿宋_GB2312" w:hAnsi="仿宋_GB2312" w:cs="仿宋_GB2312"/>
          <w:sz w:val="30"/>
          <w:szCs w:val="30"/>
          <w:u w:val="single"/>
        </w:rPr>
      </w:pPr>
      <w:r>
        <w:rPr>
          <w:rFonts w:hint="eastAsia" w:ascii="仿宋_GB2312" w:hAnsi="仿宋_GB2312" w:cs="仿宋_GB2312"/>
          <w:sz w:val="30"/>
          <w:szCs w:val="30"/>
        </w:rPr>
        <w:t>单位：</w:t>
      </w:r>
      <w:r>
        <w:rPr>
          <w:rFonts w:hint="eastAsia" w:ascii="仿宋_GB2312" w:hAnsi="仿宋_GB2312" w:cs="仿宋_GB2312"/>
          <w:sz w:val="30"/>
          <w:szCs w:val="30"/>
          <w:u w:val="single"/>
        </w:rPr>
        <w:t xml:space="preserve">深圳市公安局 </w:t>
      </w:r>
    </w:p>
    <w:tbl>
      <w:tblPr>
        <w:tblStyle w:val="5"/>
        <w:tblW w:w="14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464"/>
        <w:gridCol w:w="832"/>
        <w:gridCol w:w="1955"/>
        <w:gridCol w:w="5092"/>
        <w:gridCol w:w="1120"/>
        <w:gridCol w:w="1706"/>
        <w:gridCol w:w="1140"/>
      </w:tblGrid>
      <w:tr w14:paraId="319D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6D4352BE">
            <w:pPr>
              <w:spacing w:line="340" w:lineRule="exact"/>
              <w:jc w:val="center"/>
              <w:rPr>
                <w:rFonts w:ascii="黑体" w:hAnsi="黑体" w:eastAsia="黑体" w:cs="黑体"/>
                <w:sz w:val="30"/>
                <w:szCs w:val="30"/>
              </w:rPr>
            </w:pPr>
            <w:r>
              <w:rPr>
                <w:rFonts w:hint="eastAsia" w:ascii="黑体" w:hAnsi="黑体" w:eastAsia="黑体" w:cs="黑体"/>
                <w:sz w:val="30"/>
                <w:szCs w:val="30"/>
              </w:rPr>
              <w:t>序号</w:t>
            </w:r>
          </w:p>
        </w:tc>
        <w:tc>
          <w:tcPr>
            <w:tcW w:w="1464" w:type="dxa"/>
            <w:noWrap w:val="0"/>
            <w:vAlign w:val="center"/>
          </w:tcPr>
          <w:p w14:paraId="2495CBFF">
            <w:pPr>
              <w:spacing w:line="340" w:lineRule="exact"/>
              <w:jc w:val="center"/>
              <w:rPr>
                <w:rFonts w:ascii="黑体" w:hAnsi="黑体" w:eastAsia="黑体" w:cs="黑体"/>
                <w:sz w:val="30"/>
                <w:szCs w:val="30"/>
              </w:rPr>
            </w:pPr>
            <w:r>
              <w:rPr>
                <w:rFonts w:hint="eastAsia" w:ascii="黑体" w:hAnsi="黑体" w:eastAsia="黑体" w:cs="黑体"/>
                <w:sz w:val="30"/>
                <w:szCs w:val="30"/>
              </w:rPr>
              <w:t>事项名称</w:t>
            </w:r>
          </w:p>
        </w:tc>
        <w:tc>
          <w:tcPr>
            <w:tcW w:w="832" w:type="dxa"/>
            <w:noWrap w:val="0"/>
            <w:vAlign w:val="center"/>
          </w:tcPr>
          <w:p w14:paraId="6D4AE5DD">
            <w:pPr>
              <w:spacing w:line="340" w:lineRule="exact"/>
              <w:jc w:val="center"/>
              <w:rPr>
                <w:rFonts w:ascii="黑体" w:hAnsi="黑体" w:eastAsia="黑体" w:cs="黑体"/>
                <w:sz w:val="30"/>
                <w:szCs w:val="30"/>
              </w:rPr>
            </w:pPr>
            <w:r>
              <w:rPr>
                <w:rFonts w:hint="eastAsia" w:ascii="黑体" w:hAnsi="黑体" w:eastAsia="黑体" w:cs="黑体"/>
                <w:sz w:val="30"/>
                <w:szCs w:val="30"/>
              </w:rPr>
              <w:t>基本编码</w:t>
            </w:r>
          </w:p>
        </w:tc>
        <w:tc>
          <w:tcPr>
            <w:tcW w:w="1955" w:type="dxa"/>
            <w:noWrap w:val="0"/>
            <w:vAlign w:val="center"/>
          </w:tcPr>
          <w:p w14:paraId="2BB8D605">
            <w:pPr>
              <w:spacing w:line="340" w:lineRule="exact"/>
              <w:jc w:val="center"/>
              <w:rPr>
                <w:rFonts w:ascii="黑体" w:hAnsi="黑体" w:eastAsia="黑体" w:cs="黑体"/>
                <w:sz w:val="30"/>
                <w:szCs w:val="30"/>
              </w:rPr>
            </w:pPr>
            <w:r>
              <w:rPr>
                <w:rFonts w:hint="eastAsia" w:ascii="黑体" w:hAnsi="黑体" w:eastAsia="黑体" w:cs="黑体"/>
                <w:sz w:val="30"/>
                <w:szCs w:val="30"/>
              </w:rPr>
              <w:t>设定依据</w:t>
            </w:r>
          </w:p>
        </w:tc>
        <w:tc>
          <w:tcPr>
            <w:tcW w:w="5092" w:type="dxa"/>
            <w:noWrap w:val="0"/>
            <w:vAlign w:val="center"/>
          </w:tcPr>
          <w:p w14:paraId="7C217E16">
            <w:pPr>
              <w:spacing w:line="340" w:lineRule="exact"/>
              <w:jc w:val="center"/>
              <w:rPr>
                <w:rFonts w:ascii="黑体" w:hAnsi="黑体" w:eastAsia="黑体" w:cs="黑体"/>
                <w:sz w:val="30"/>
                <w:szCs w:val="30"/>
              </w:rPr>
            </w:pPr>
            <w:r>
              <w:rPr>
                <w:rFonts w:hint="eastAsia" w:ascii="黑体" w:hAnsi="黑体" w:eastAsia="黑体" w:cs="黑体"/>
                <w:sz w:val="30"/>
                <w:szCs w:val="30"/>
              </w:rPr>
              <w:t>适用情形</w:t>
            </w:r>
          </w:p>
        </w:tc>
        <w:tc>
          <w:tcPr>
            <w:tcW w:w="1120" w:type="dxa"/>
            <w:noWrap w:val="0"/>
            <w:vAlign w:val="center"/>
          </w:tcPr>
          <w:p w14:paraId="27A941CC">
            <w:pPr>
              <w:spacing w:line="340" w:lineRule="exact"/>
              <w:jc w:val="center"/>
              <w:rPr>
                <w:rFonts w:ascii="黑体" w:hAnsi="黑体" w:eastAsia="黑体" w:cs="黑体"/>
                <w:sz w:val="30"/>
                <w:szCs w:val="30"/>
              </w:rPr>
            </w:pPr>
            <w:r>
              <w:rPr>
                <w:rFonts w:hint="eastAsia" w:ascii="黑体" w:hAnsi="黑体" w:eastAsia="黑体" w:cs="黑体"/>
                <w:sz w:val="30"/>
                <w:szCs w:val="30"/>
              </w:rPr>
              <w:t>免处罚依据</w:t>
            </w:r>
          </w:p>
        </w:tc>
        <w:tc>
          <w:tcPr>
            <w:tcW w:w="1706" w:type="dxa"/>
            <w:noWrap w:val="0"/>
            <w:vAlign w:val="center"/>
          </w:tcPr>
          <w:p w14:paraId="5D6A446E">
            <w:pPr>
              <w:spacing w:line="340" w:lineRule="exact"/>
              <w:jc w:val="center"/>
              <w:rPr>
                <w:rFonts w:ascii="黑体" w:hAnsi="黑体" w:eastAsia="黑体" w:cs="黑体"/>
                <w:sz w:val="30"/>
                <w:szCs w:val="30"/>
              </w:rPr>
            </w:pPr>
            <w:r>
              <w:rPr>
                <w:rFonts w:hint="eastAsia" w:ascii="黑体" w:hAnsi="黑体" w:eastAsia="黑体" w:cs="黑体"/>
                <w:sz w:val="30"/>
                <w:szCs w:val="30"/>
              </w:rPr>
              <w:t>配套监管措施</w:t>
            </w:r>
          </w:p>
        </w:tc>
        <w:tc>
          <w:tcPr>
            <w:tcW w:w="1140" w:type="dxa"/>
            <w:noWrap w:val="0"/>
            <w:vAlign w:val="center"/>
          </w:tcPr>
          <w:p w14:paraId="1F3AED08">
            <w:pPr>
              <w:spacing w:line="340" w:lineRule="exact"/>
              <w:jc w:val="center"/>
              <w:rPr>
                <w:rFonts w:ascii="黑体" w:hAnsi="黑体" w:eastAsia="黑体" w:cs="黑体"/>
                <w:sz w:val="30"/>
                <w:szCs w:val="30"/>
              </w:rPr>
            </w:pPr>
            <w:r>
              <w:rPr>
                <w:rFonts w:hint="eastAsia" w:ascii="黑体" w:hAnsi="黑体" w:eastAsia="黑体" w:cs="黑体"/>
                <w:sz w:val="30"/>
                <w:szCs w:val="30"/>
              </w:rPr>
              <w:t>备注</w:t>
            </w:r>
          </w:p>
        </w:tc>
      </w:tr>
      <w:tr w14:paraId="316F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4" w:type="dxa"/>
            <w:noWrap w:val="0"/>
            <w:vAlign w:val="top"/>
          </w:tcPr>
          <w:p w14:paraId="0CA8C313">
            <w:pPr>
              <w:spacing w:line="340" w:lineRule="exact"/>
              <w:rPr>
                <w:rFonts w:hint="eastAsia" w:ascii="仿宋_GB2312" w:hAnsi="仿宋_GB2312" w:cs="仿宋_GB2312"/>
                <w:bCs/>
                <w:sz w:val="21"/>
                <w:szCs w:val="21"/>
              </w:rPr>
            </w:pPr>
            <w:r>
              <w:rPr>
                <w:rFonts w:hint="eastAsia" w:ascii="仿宋_GB2312" w:hAnsi="仿宋_GB2312" w:cs="仿宋_GB2312"/>
                <w:bCs/>
                <w:sz w:val="21"/>
                <w:szCs w:val="21"/>
              </w:rPr>
              <w:t>1</w:t>
            </w:r>
          </w:p>
        </w:tc>
        <w:tc>
          <w:tcPr>
            <w:tcW w:w="1464" w:type="dxa"/>
            <w:noWrap w:val="0"/>
            <w:vAlign w:val="center"/>
          </w:tcPr>
          <w:p w14:paraId="5933FDF1">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对未经审核变更保安服务公司法定代表人的处罚</w:t>
            </w:r>
          </w:p>
        </w:tc>
        <w:tc>
          <w:tcPr>
            <w:tcW w:w="832" w:type="dxa"/>
            <w:noWrap w:val="0"/>
            <w:vAlign w:val="top"/>
          </w:tcPr>
          <w:p w14:paraId="5C3911F1">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440206122000</w:t>
            </w:r>
          </w:p>
        </w:tc>
        <w:tc>
          <w:tcPr>
            <w:tcW w:w="1955" w:type="dxa"/>
            <w:noWrap w:val="0"/>
            <w:vAlign w:val="top"/>
          </w:tcPr>
          <w:p w14:paraId="0AEA83C8">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《保安服务管理条例》第十二条第三款、第四十二条第一款第一项</w:t>
            </w:r>
          </w:p>
        </w:tc>
        <w:tc>
          <w:tcPr>
            <w:tcW w:w="5092" w:type="dxa"/>
            <w:noWrap w:val="0"/>
            <w:vAlign w:val="center"/>
          </w:tcPr>
          <w:p w14:paraId="57C19DB5">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未经审核变更保安服务公司法定代表人，在违法事实发生之日起30日内主动向公安机关提交变更许可申请，或被公安机关责令限期整改后能按期完成整改，且期间未造成公民人身伤害、公私财产损失或其他后果，未产生违法所得的，不予处罚。</w:t>
            </w:r>
          </w:p>
        </w:tc>
        <w:tc>
          <w:tcPr>
            <w:tcW w:w="1120" w:type="dxa"/>
            <w:noWrap w:val="0"/>
            <w:vAlign w:val="top"/>
          </w:tcPr>
          <w:p w14:paraId="4C5D2510">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《行政处罚法》第三十三条</w:t>
            </w:r>
          </w:p>
        </w:tc>
        <w:tc>
          <w:tcPr>
            <w:tcW w:w="1706" w:type="dxa"/>
            <w:noWrap w:val="0"/>
            <w:vAlign w:val="center"/>
          </w:tcPr>
          <w:p w14:paraId="14899B1A">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加强教育、及时复查整改情况，加强日常检查。</w:t>
            </w:r>
          </w:p>
        </w:tc>
        <w:tc>
          <w:tcPr>
            <w:tcW w:w="1140" w:type="dxa"/>
            <w:noWrap w:val="0"/>
            <w:vAlign w:val="center"/>
          </w:tcPr>
          <w:p w14:paraId="51BFCD7A">
            <w:pPr>
              <w:spacing w:line="240" w:lineRule="exact"/>
              <w:jc w:val="left"/>
              <w:rPr>
                <w:rFonts w:hint="eastAsia" w:ascii="仿宋_GB2312" w:hAnsi="仿宋_GB2312" w:eastAsia="仿宋_GB2312" w:cs="仿宋_GB2312"/>
                <w:b/>
                <w:bCs/>
                <w:kern w:val="2"/>
                <w:sz w:val="21"/>
                <w:szCs w:val="21"/>
                <w:lang w:val="en-US" w:eastAsia="zh-CN" w:bidi="ar-SA"/>
              </w:rPr>
            </w:pPr>
          </w:p>
        </w:tc>
      </w:tr>
      <w:tr w14:paraId="00B1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4" w:type="dxa"/>
            <w:noWrap w:val="0"/>
            <w:vAlign w:val="top"/>
          </w:tcPr>
          <w:p w14:paraId="462942CA">
            <w:pPr>
              <w:spacing w:line="340" w:lineRule="exact"/>
              <w:rPr>
                <w:rFonts w:hint="eastAsia" w:ascii="仿宋_GB2312" w:hAnsi="仿宋_GB2312" w:cs="仿宋_GB2312"/>
                <w:bCs/>
                <w:sz w:val="21"/>
                <w:szCs w:val="21"/>
              </w:rPr>
            </w:pPr>
            <w:r>
              <w:rPr>
                <w:rFonts w:hint="eastAsia" w:ascii="仿宋_GB2312" w:hAnsi="仿宋_GB2312" w:cs="仿宋_GB2312"/>
                <w:bCs/>
                <w:sz w:val="21"/>
                <w:szCs w:val="21"/>
              </w:rPr>
              <w:t>2</w:t>
            </w:r>
          </w:p>
        </w:tc>
        <w:tc>
          <w:tcPr>
            <w:tcW w:w="1464" w:type="dxa"/>
            <w:noWrap w:val="0"/>
            <w:vAlign w:val="center"/>
          </w:tcPr>
          <w:p w14:paraId="2CEDD3F8">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对未按规定进行自招保安员备案的处罚</w:t>
            </w:r>
          </w:p>
        </w:tc>
        <w:tc>
          <w:tcPr>
            <w:tcW w:w="832" w:type="dxa"/>
            <w:noWrap w:val="0"/>
            <w:vAlign w:val="top"/>
          </w:tcPr>
          <w:p w14:paraId="37E11CB1">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440206122000</w:t>
            </w:r>
          </w:p>
        </w:tc>
        <w:tc>
          <w:tcPr>
            <w:tcW w:w="1955" w:type="dxa"/>
            <w:noWrap w:val="0"/>
            <w:vAlign w:val="top"/>
          </w:tcPr>
          <w:p w14:paraId="1E3D38AD">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《保安服务管理条例》第十四条第一款、第四十二条第一款第二项</w:t>
            </w:r>
          </w:p>
        </w:tc>
        <w:tc>
          <w:tcPr>
            <w:tcW w:w="5092" w:type="dxa"/>
            <w:noWrap w:val="0"/>
            <w:vAlign w:val="center"/>
          </w:tcPr>
          <w:p w14:paraId="1267B10D">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未按规定进行自招保安员备案，在违法事实发生之日起10日内主动向公安机关提交备案申请，或被公安机关责令限期整改后能按期完成整改，且期间未造成公民人身伤害、公私财产损失或其他后果，未产生违法所得的，不予处罚。</w:t>
            </w:r>
          </w:p>
        </w:tc>
        <w:tc>
          <w:tcPr>
            <w:tcW w:w="1120" w:type="dxa"/>
            <w:noWrap w:val="0"/>
            <w:vAlign w:val="top"/>
          </w:tcPr>
          <w:p w14:paraId="05263A48">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《行政处罚法》第三十三条</w:t>
            </w:r>
          </w:p>
        </w:tc>
        <w:tc>
          <w:tcPr>
            <w:tcW w:w="1706" w:type="dxa"/>
            <w:noWrap w:val="0"/>
            <w:vAlign w:val="center"/>
          </w:tcPr>
          <w:p w14:paraId="43534E0D">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加强教育、及时复查整改情况，加强日常检查。</w:t>
            </w:r>
          </w:p>
        </w:tc>
        <w:tc>
          <w:tcPr>
            <w:tcW w:w="1140" w:type="dxa"/>
            <w:noWrap w:val="0"/>
            <w:vAlign w:val="center"/>
          </w:tcPr>
          <w:p w14:paraId="48303381">
            <w:pPr>
              <w:spacing w:line="240" w:lineRule="exact"/>
              <w:jc w:val="left"/>
              <w:rPr>
                <w:rFonts w:hint="eastAsia" w:ascii="仿宋_GB2312" w:hAnsi="仿宋_GB2312" w:eastAsia="仿宋_GB2312" w:cs="仿宋_GB2312"/>
                <w:b/>
                <w:bCs/>
                <w:kern w:val="2"/>
                <w:sz w:val="21"/>
                <w:szCs w:val="21"/>
                <w:lang w:val="en-US" w:eastAsia="zh-CN" w:bidi="ar-SA"/>
              </w:rPr>
            </w:pPr>
          </w:p>
        </w:tc>
      </w:tr>
      <w:tr w14:paraId="43B8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4" w:type="dxa"/>
            <w:noWrap w:val="0"/>
            <w:vAlign w:val="top"/>
          </w:tcPr>
          <w:p w14:paraId="31D319BB">
            <w:pPr>
              <w:spacing w:line="340" w:lineRule="exact"/>
              <w:rPr>
                <w:rFonts w:hint="eastAsia" w:ascii="仿宋_GB2312" w:hAnsi="仿宋_GB2312" w:cs="仿宋_GB2312"/>
                <w:bCs/>
                <w:sz w:val="21"/>
                <w:szCs w:val="21"/>
              </w:rPr>
            </w:pPr>
            <w:r>
              <w:rPr>
                <w:rFonts w:hint="eastAsia" w:ascii="仿宋_GB2312" w:hAnsi="仿宋_GB2312" w:cs="仿宋_GB2312"/>
                <w:bCs/>
                <w:sz w:val="21"/>
                <w:szCs w:val="21"/>
              </w:rPr>
              <w:t>3</w:t>
            </w:r>
          </w:p>
        </w:tc>
        <w:tc>
          <w:tcPr>
            <w:tcW w:w="1464" w:type="dxa"/>
            <w:noWrap w:val="0"/>
            <w:vAlign w:val="center"/>
          </w:tcPr>
          <w:p w14:paraId="1DAA5ABE">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对未按规定撤销自招保安员备案的处罚</w:t>
            </w:r>
          </w:p>
        </w:tc>
        <w:tc>
          <w:tcPr>
            <w:tcW w:w="832" w:type="dxa"/>
            <w:noWrap w:val="0"/>
            <w:vAlign w:val="top"/>
          </w:tcPr>
          <w:p w14:paraId="4C0E8397">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440206122000</w:t>
            </w:r>
          </w:p>
        </w:tc>
        <w:tc>
          <w:tcPr>
            <w:tcW w:w="1955" w:type="dxa"/>
            <w:noWrap w:val="0"/>
            <w:vAlign w:val="top"/>
          </w:tcPr>
          <w:p w14:paraId="416ED3B0">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《保安服务管理条例》第十四条第二款、第四十二条第一款第二项</w:t>
            </w:r>
          </w:p>
        </w:tc>
        <w:tc>
          <w:tcPr>
            <w:tcW w:w="5092" w:type="dxa"/>
            <w:noWrap w:val="0"/>
            <w:vAlign w:val="center"/>
          </w:tcPr>
          <w:p w14:paraId="293ECC9A">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未按规定撤销自招保安员备案，在违法事实发生之日起30日内主动向公安机关撤销备案，或被公安机关责令限期整改后能按期完成整改，且期间未造成公民人身伤害、公私财产损失，未产生违法所得的，不予处罚。</w:t>
            </w:r>
          </w:p>
        </w:tc>
        <w:tc>
          <w:tcPr>
            <w:tcW w:w="1120" w:type="dxa"/>
            <w:noWrap w:val="0"/>
            <w:vAlign w:val="top"/>
          </w:tcPr>
          <w:p w14:paraId="7A3C732A">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《行政处罚法》第三十三条</w:t>
            </w:r>
          </w:p>
        </w:tc>
        <w:tc>
          <w:tcPr>
            <w:tcW w:w="1706" w:type="dxa"/>
            <w:noWrap w:val="0"/>
            <w:vAlign w:val="center"/>
          </w:tcPr>
          <w:p w14:paraId="6DDA1175">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加强教育、及时复查整改情况，加强日常检查。</w:t>
            </w:r>
          </w:p>
        </w:tc>
        <w:tc>
          <w:tcPr>
            <w:tcW w:w="1140" w:type="dxa"/>
            <w:noWrap w:val="0"/>
            <w:vAlign w:val="top"/>
          </w:tcPr>
          <w:p w14:paraId="7C929B2D">
            <w:pPr>
              <w:spacing w:line="340" w:lineRule="exact"/>
              <w:rPr>
                <w:rFonts w:hint="eastAsia" w:ascii="仿宋_GB2312" w:hAnsi="仿宋_GB2312" w:eastAsia="仿宋_GB2312" w:cs="仿宋_GB2312"/>
                <w:b/>
                <w:bCs/>
                <w:kern w:val="2"/>
                <w:sz w:val="21"/>
                <w:szCs w:val="21"/>
                <w:lang w:val="en-US" w:eastAsia="zh-CN" w:bidi="ar-SA"/>
              </w:rPr>
            </w:pPr>
          </w:p>
        </w:tc>
      </w:tr>
      <w:tr w14:paraId="4196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814" w:type="dxa"/>
            <w:noWrap w:val="0"/>
            <w:vAlign w:val="top"/>
          </w:tcPr>
          <w:p w14:paraId="1055B92D">
            <w:pPr>
              <w:spacing w:line="340" w:lineRule="exact"/>
              <w:rPr>
                <w:rFonts w:hint="eastAsia" w:ascii="仿宋_GB2312" w:hAnsi="仿宋_GB2312" w:cs="仿宋_GB2312"/>
                <w:bCs/>
                <w:sz w:val="21"/>
                <w:szCs w:val="21"/>
              </w:rPr>
            </w:pPr>
            <w:r>
              <w:rPr>
                <w:rFonts w:hint="eastAsia" w:ascii="仿宋_GB2312" w:hAnsi="仿宋_GB2312" w:cs="仿宋_GB2312"/>
                <w:bCs/>
                <w:sz w:val="21"/>
                <w:szCs w:val="21"/>
              </w:rPr>
              <w:t>4</w:t>
            </w:r>
          </w:p>
        </w:tc>
        <w:tc>
          <w:tcPr>
            <w:tcW w:w="1464" w:type="dxa"/>
            <w:noWrap w:val="0"/>
            <w:vAlign w:val="center"/>
          </w:tcPr>
          <w:p w14:paraId="53BC3EA6">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对超范围开展保安服务的处罚</w:t>
            </w:r>
          </w:p>
        </w:tc>
        <w:tc>
          <w:tcPr>
            <w:tcW w:w="832" w:type="dxa"/>
            <w:noWrap w:val="0"/>
            <w:vAlign w:val="top"/>
          </w:tcPr>
          <w:p w14:paraId="2BFE6C9E">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440206122000</w:t>
            </w:r>
          </w:p>
        </w:tc>
        <w:tc>
          <w:tcPr>
            <w:tcW w:w="1955" w:type="dxa"/>
            <w:noWrap w:val="0"/>
            <w:vAlign w:val="top"/>
          </w:tcPr>
          <w:p w14:paraId="738E9456">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《保安服务管理条例》第十五条、第四十二条第一款第三项</w:t>
            </w:r>
          </w:p>
        </w:tc>
        <w:tc>
          <w:tcPr>
            <w:tcW w:w="5092" w:type="dxa"/>
            <w:noWrap w:val="0"/>
            <w:vAlign w:val="center"/>
          </w:tcPr>
          <w:p w14:paraId="055E0D04">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超范围开展保安服务，在违法事实发生之日起5日内主动纠正，或被公安机关责令限期整改后能按期完成整改，且期间未造成公民人身伤害、公私财产损失或其他后果，未产生违法所得的，不予处罚。</w:t>
            </w:r>
          </w:p>
        </w:tc>
        <w:tc>
          <w:tcPr>
            <w:tcW w:w="1120" w:type="dxa"/>
            <w:noWrap w:val="0"/>
            <w:vAlign w:val="top"/>
          </w:tcPr>
          <w:p w14:paraId="20CC7041">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《行政处罚法》第三十三条</w:t>
            </w:r>
          </w:p>
        </w:tc>
        <w:tc>
          <w:tcPr>
            <w:tcW w:w="1706" w:type="dxa"/>
            <w:noWrap w:val="0"/>
            <w:vAlign w:val="center"/>
          </w:tcPr>
          <w:p w14:paraId="059CC7C4">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加强教育、及时复查整改情况，加强日常检查。</w:t>
            </w:r>
          </w:p>
        </w:tc>
        <w:tc>
          <w:tcPr>
            <w:tcW w:w="1140" w:type="dxa"/>
            <w:noWrap w:val="0"/>
            <w:vAlign w:val="top"/>
          </w:tcPr>
          <w:p w14:paraId="0DE0ACE3">
            <w:pPr>
              <w:spacing w:line="340" w:lineRule="exact"/>
              <w:rPr>
                <w:rFonts w:hint="eastAsia" w:ascii="仿宋_GB2312" w:hAnsi="仿宋_GB2312" w:eastAsia="仿宋_GB2312" w:cs="仿宋_GB2312"/>
                <w:b/>
                <w:bCs/>
                <w:kern w:val="2"/>
                <w:sz w:val="21"/>
                <w:szCs w:val="21"/>
                <w:lang w:val="en-US" w:eastAsia="zh-CN" w:bidi="ar-SA"/>
              </w:rPr>
            </w:pPr>
          </w:p>
        </w:tc>
      </w:tr>
      <w:tr w14:paraId="4CEC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14" w:type="dxa"/>
            <w:noWrap w:val="0"/>
            <w:vAlign w:val="top"/>
          </w:tcPr>
          <w:p w14:paraId="4D21E97A">
            <w:pPr>
              <w:spacing w:line="340" w:lineRule="exact"/>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5</w:t>
            </w:r>
          </w:p>
        </w:tc>
        <w:tc>
          <w:tcPr>
            <w:tcW w:w="1464" w:type="dxa"/>
            <w:noWrap w:val="0"/>
            <w:vAlign w:val="top"/>
          </w:tcPr>
          <w:p w14:paraId="73641F59">
            <w:pPr>
              <w:spacing w:line="340" w:lineRule="exact"/>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对不落实单位内部治安保卫工作的行为的处罚</w:t>
            </w:r>
          </w:p>
        </w:tc>
        <w:tc>
          <w:tcPr>
            <w:tcW w:w="832" w:type="dxa"/>
            <w:noWrap w:val="0"/>
            <w:vAlign w:val="top"/>
          </w:tcPr>
          <w:p w14:paraId="40C09D20">
            <w:pPr>
              <w:spacing w:line="340" w:lineRule="exact"/>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440206121000</w:t>
            </w:r>
          </w:p>
        </w:tc>
        <w:tc>
          <w:tcPr>
            <w:tcW w:w="1955" w:type="dxa"/>
            <w:noWrap w:val="0"/>
            <w:vAlign w:val="top"/>
          </w:tcPr>
          <w:p w14:paraId="41B14993">
            <w:pPr>
              <w:spacing w:line="340" w:lineRule="exact"/>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 xml:space="preserve">《企业事业单位内部治安保卫条例》第十九条 </w:t>
            </w:r>
          </w:p>
        </w:tc>
        <w:tc>
          <w:tcPr>
            <w:tcW w:w="5092" w:type="dxa"/>
            <w:noWrap w:val="0"/>
            <w:vAlign w:val="top"/>
          </w:tcPr>
          <w:p w14:paraId="12B9E77A">
            <w:pPr>
              <w:spacing w:line="340" w:lineRule="exact"/>
              <w:rPr>
                <w:rFonts w:hint="eastAsia" w:ascii="仿宋_GB2312" w:hAnsi="仿宋_GB2312" w:cs="仿宋_GB2312"/>
                <w:sz w:val="21"/>
                <w:szCs w:val="21"/>
              </w:rPr>
            </w:pPr>
            <w:r>
              <w:rPr>
                <w:rFonts w:hint="eastAsia" w:ascii="仿宋_GB2312" w:hAnsi="仿宋_GB2312" w:cs="仿宋_GB2312"/>
                <w:sz w:val="21"/>
                <w:szCs w:val="21"/>
              </w:rPr>
              <w:t>违反</w:t>
            </w:r>
            <w:r>
              <w:rPr>
                <w:rFonts w:hint="eastAsia" w:ascii="仿宋_GB2312" w:hAnsi="仿宋" w:cs="仿宋"/>
                <w:color w:val="000000"/>
                <w:kern w:val="0"/>
                <w:sz w:val="21"/>
                <w:szCs w:val="21"/>
                <w:lang w:bidi="ar"/>
              </w:rPr>
              <w:t>《企业事业单位内部治安保卫条例》</w:t>
            </w:r>
            <w:r>
              <w:rPr>
                <w:rFonts w:hint="eastAsia" w:ascii="仿宋_GB2312" w:hAnsi="仿宋_GB2312" w:cs="仿宋_GB2312"/>
                <w:sz w:val="21"/>
                <w:szCs w:val="21"/>
              </w:rPr>
              <w:t>的规定，不落实单位内部治安保卫措施，存在治安隐患，被公安机关责令限期整改后能按期完成整改，且期间未造成公民人身伤害、公私财产损失或其他后果，不予处罚。</w:t>
            </w:r>
          </w:p>
        </w:tc>
        <w:tc>
          <w:tcPr>
            <w:tcW w:w="1120" w:type="dxa"/>
            <w:noWrap w:val="0"/>
            <w:vAlign w:val="top"/>
          </w:tcPr>
          <w:p w14:paraId="48ABF48C">
            <w:pPr>
              <w:spacing w:line="340" w:lineRule="exact"/>
              <w:rPr>
                <w:rFonts w:hint="eastAsia" w:ascii="仿宋_GB2312" w:hAnsi="仿宋_GB2312" w:cs="仿宋_GB2312"/>
                <w:sz w:val="21"/>
                <w:szCs w:val="21"/>
              </w:rPr>
            </w:pPr>
            <w:r>
              <w:rPr>
                <w:rFonts w:hint="eastAsia" w:ascii="仿宋_GB2312" w:hAnsi="仿宋_GB2312" w:cs="仿宋_GB2312"/>
                <w:sz w:val="21"/>
                <w:szCs w:val="21"/>
              </w:rPr>
              <w:t>《行政处罚法》 第三十三条</w:t>
            </w:r>
          </w:p>
        </w:tc>
        <w:tc>
          <w:tcPr>
            <w:tcW w:w="1706" w:type="dxa"/>
            <w:noWrap w:val="0"/>
            <w:vAlign w:val="top"/>
          </w:tcPr>
          <w:p w14:paraId="11A9CA77">
            <w:pPr>
              <w:spacing w:line="340" w:lineRule="exact"/>
              <w:rPr>
                <w:rFonts w:hint="eastAsia" w:ascii="仿宋_GB2312" w:hAnsi="仿宋_GB2312" w:cs="仿宋_GB2312"/>
                <w:sz w:val="21"/>
                <w:szCs w:val="21"/>
              </w:rPr>
            </w:pPr>
            <w:r>
              <w:rPr>
                <w:rFonts w:hint="eastAsia" w:ascii="仿宋_GB2312" w:hAnsi="仿宋_GB2312" w:cs="仿宋_GB2312"/>
                <w:sz w:val="21"/>
                <w:szCs w:val="21"/>
              </w:rPr>
              <w:t>加强教育、及时复查整改情况，加强日常检查。</w:t>
            </w:r>
          </w:p>
        </w:tc>
        <w:tc>
          <w:tcPr>
            <w:tcW w:w="1140" w:type="dxa"/>
            <w:noWrap w:val="0"/>
            <w:vAlign w:val="top"/>
          </w:tcPr>
          <w:p w14:paraId="02C76842">
            <w:pPr>
              <w:spacing w:line="340" w:lineRule="exact"/>
              <w:rPr>
                <w:rFonts w:hint="eastAsia" w:ascii="仿宋_GB2312" w:hAnsi="仿宋_GB2312" w:eastAsia="仿宋_GB2312" w:cs="仿宋_GB2312"/>
                <w:b/>
                <w:bCs/>
                <w:kern w:val="2"/>
                <w:sz w:val="21"/>
                <w:szCs w:val="21"/>
                <w:lang w:val="en-US" w:eastAsia="zh-CN" w:bidi="ar-SA"/>
              </w:rPr>
            </w:pPr>
          </w:p>
        </w:tc>
      </w:tr>
      <w:tr w14:paraId="0961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14" w:type="dxa"/>
            <w:noWrap w:val="0"/>
            <w:vAlign w:val="top"/>
          </w:tcPr>
          <w:p w14:paraId="5D37F714">
            <w:pPr>
              <w:spacing w:line="340" w:lineRule="exact"/>
              <w:rPr>
                <w:rFonts w:hint="eastAsia" w:ascii="仿宋_GB2312" w:hAnsi="仿宋_GB2312" w:cs="仿宋_GB2312"/>
                <w:bCs/>
                <w:sz w:val="21"/>
                <w:szCs w:val="21"/>
              </w:rPr>
            </w:pPr>
            <w:r>
              <w:rPr>
                <w:rFonts w:hint="eastAsia" w:ascii="仿宋_GB2312" w:hAnsi="仿宋_GB2312" w:cs="仿宋_GB2312"/>
                <w:bCs/>
                <w:sz w:val="21"/>
                <w:szCs w:val="21"/>
              </w:rPr>
              <w:t>6</w:t>
            </w:r>
          </w:p>
        </w:tc>
        <w:tc>
          <w:tcPr>
            <w:tcW w:w="1464" w:type="dxa"/>
            <w:noWrap w:val="0"/>
            <w:vAlign w:val="center"/>
          </w:tcPr>
          <w:p w14:paraId="2D8CBCB4">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对公共安全视频图像信息系统的使用单位未建立信息资料安全管理制度的行为的处罚</w:t>
            </w:r>
          </w:p>
        </w:tc>
        <w:tc>
          <w:tcPr>
            <w:tcW w:w="832" w:type="dxa"/>
            <w:noWrap w:val="0"/>
            <w:vAlign w:val="top"/>
          </w:tcPr>
          <w:p w14:paraId="2D67192A">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44020600D000</w:t>
            </w:r>
          </w:p>
        </w:tc>
        <w:tc>
          <w:tcPr>
            <w:tcW w:w="1955" w:type="dxa"/>
            <w:noWrap w:val="0"/>
            <w:vAlign w:val="top"/>
          </w:tcPr>
          <w:p w14:paraId="29DB1AFD">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《广东省公共安全视频图像信息系统管理办法》第十八条第一项、第二十六条第一款第</w:t>
            </w:r>
            <w:r>
              <w:rPr>
                <w:rFonts w:hint="eastAsia" w:ascii="仿宋_GB2312" w:hAnsi="仿宋" w:cs="仿宋"/>
                <w:color w:val="000000"/>
                <w:kern w:val="0"/>
                <w:sz w:val="21"/>
                <w:szCs w:val="21"/>
                <w:lang w:eastAsia="zh-CN" w:bidi="ar"/>
              </w:rPr>
              <w:t>三</w:t>
            </w:r>
            <w:r>
              <w:rPr>
                <w:rFonts w:hint="eastAsia" w:ascii="仿宋_GB2312" w:hAnsi="仿宋" w:cs="仿宋"/>
                <w:color w:val="000000"/>
                <w:kern w:val="0"/>
                <w:sz w:val="21"/>
                <w:szCs w:val="21"/>
                <w:lang w:bidi="ar"/>
              </w:rPr>
              <w:t>项</w:t>
            </w:r>
          </w:p>
        </w:tc>
        <w:tc>
          <w:tcPr>
            <w:tcW w:w="5092" w:type="dxa"/>
            <w:noWrap w:val="0"/>
            <w:vAlign w:val="center"/>
          </w:tcPr>
          <w:p w14:paraId="09584690">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公共安全视频图像信息系统的使用单位未建立信息资料安全管理制度，初次违法且危害后果轻微并及时改正的，不予处罚。</w:t>
            </w:r>
          </w:p>
        </w:tc>
        <w:tc>
          <w:tcPr>
            <w:tcW w:w="1120" w:type="dxa"/>
            <w:noWrap w:val="0"/>
            <w:vAlign w:val="top"/>
          </w:tcPr>
          <w:p w14:paraId="28518B7A">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 xml:space="preserve">《行政处罚法》第三十三条  </w:t>
            </w:r>
          </w:p>
        </w:tc>
        <w:tc>
          <w:tcPr>
            <w:tcW w:w="1706" w:type="dxa"/>
            <w:noWrap w:val="0"/>
            <w:vAlign w:val="center"/>
          </w:tcPr>
          <w:p w14:paraId="0B812EC3">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加强教育、及时复查整改情况，加强日常检查，并登记初次违规情况。</w:t>
            </w:r>
          </w:p>
        </w:tc>
        <w:tc>
          <w:tcPr>
            <w:tcW w:w="1140" w:type="dxa"/>
            <w:noWrap w:val="0"/>
            <w:vAlign w:val="top"/>
          </w:tcPr>
          <w:p w14:paraId="792E1372">
            <w:pPr>
              <w:spacing w:line="340" w:lineRule="exact"/>
              <w:rPr>
                <w:rFonts w:hint="eastAsia" w:ascii="仿宋_GB2312" w:hAnsi="仿宋_GB2312" w:eastAsia="仿宋_GB2312" w:cs="仿宋_GB2312"/>
                <w:b/>
                <w:bCs/>
                <w:kern w:val="2"/>
                <w:sz w:val="21"/>
                <w:szCs w:val="21"/>
                <w:lang w:val="en-US" w:eastAsia="zh-CN" w:bidi="ar-SA"/>
              </w:rPr>
            </w:pPr>
          </w:p>
        </w:tc>
      </w:tr>
      <w:tr w14:paraId="1791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4" w:hRule="atLeast"/>
          <w:jc w:val="center"/>
        </w:trPr>
        <w:tc>
          <w:tcPr>
            <w:tcW w:w="814" w:type="dxa"/>
            <w:noWrap w:val="0"/>
            <w:vAlign w:val="top"/>
          </w:tcPr>
          <w:p w14:paraId="02A080F3">
            <w:pPr>
              <w:spacing w:line="340" w:lineRule="exact"/>
              <w:rPr>
                <w:rFonts w:hint="eastAsia" w:ascii="仿宋_GB2312" w:hAnsi="仿宋_GB2312" w:cs="仿宋_GB2312"/>
                <w:bCs/>
                <w:sz w:val="21"/>
                <w:szCs w:val="21"/>
              </w:rPr>
            </w:pPr>
            <w:r>
              <w:rPr>
                <w:rFonts w:hint="eastAsia" w:ascii="仿宋_GB2312" w:hAnsi="仿宋_GB2312" w:cs="仿宋_GB2312"/>
                <w:bCs/>
                <w:sz w:val="21"/>
                <w:szCs w:val="21"/>
              </w:rPr>
              <w:t>7</w:t>
            </w:r>
          </w:p>
        </w:tc>
        <w:tc>
          <w:tcPr>
            <w:tcW w:w="1464" w:type="dxa"/>
            <w:noWrap w:val="0"/>
            <w:vAlign w:val="center"/>
          </w:tcPr>
          <w:p w14:paraId="7B9E2FDC">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对公共安全视频图像信息系统的使用单位未对公共安全视频图像信息系统的监看和管理人员进行监督管理的行为的处罚</w:t>
            </w:r>
          </w:p>
        </w:tc>
        <w:tc>
          <w:tcPr>
            <w:tcW w:w="832" w:type="dxa"/>
            <w:noWrap w:val="0"/>
            <w:vAlign w:val="top"/>
          </w:tcPr>
          <w:p w14:paraId="79325A7A">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44020600C000</w:t>
            </w:r>
          </w:p>
        </w:tc>
        <w:tc>
          <w:tcPr>
            <w:tcW w:w="1955" w:type="dxa"/>
            <w:noWrap w:val="0"/>
            <w:vAlign w:val="top"/>
          </w:tcPr>
          <w:p w14:paraId="677F0B91">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《广东省公共安全视频图像信息系统管理办法》</w:t>
            </w:r>
            <w:bookmarkStart w:id="0" w:name="_GoBack"/>
            <w:r>
              <w:rPr>
                <w:rFonts w:hint="eastAsia" w:ascii="仿宋_GB2312" w:hAnsi="仿宋" w:cs="仿宋"/>
                <w:color w:val="000000"/>
                <w:kern w:val="0"/>
                <w:sz w:val="21"/>
                <w:szCs w:val="21"/>
                <w:lang w:bidi="ar"/>
              </w:rPr>
              <w:t>第十</w:t>
            </w:r>
            <w:r>
              <w:rPr>
                <w:rFonts w:hint="eastAsia" w:ascii="仿宋_GB2312" w:hAnsi="仿宋" w:cs="仿宋"/>
                <w:color w:val="000000"/>
                <w:kern w:val="0"/>
                <w:sz w:val="21"/>
                <w:szCs w:val="21"/>
                <w:lang w:eastAsia="zh-CN" w:bidi="ar"/>
              </w:rPr>
              <w:t>七</w:t>
            </w:r>
            <w:r>
              <w:rPr>
                <w:rFonts w:hint="eastAsia" w:ascii="仿宋_GB2312" w:hAnsi="仿宋" w:cs="仿宋"/>
                <w:color w:val="000000"/>
                <w:kern w:val="0"/>
                <w:sz w:val="21"/>
                <w:szCs w:val="21"/>
                <w:lang w:bidi="ar"/>
              </w:rPr>
              <w:t>条第二项、第二十</w:t>
            </w:r>
            <w:bookmarkEnd w:id="0"/>
            <w:r>
              <w:rPr>
                <w:rFonts w:hint="eastAsia" w:ascii="仿宋_GB2312" w:hAnsi="仿宋" w:cs="仿宋"/>
                <w:color w:val="000000"/>
                <w:kern w:val="0"/>
                <w:sz w:val="21"/>
                <w:szCs w:val="21"/>
                <w:lang w:bidi="ar"/>
              </w:rPr>
              <w:t>六条第一款第</w:t>
            </w:r>
            <w:r>
              <w:rPr>
                <w:rFonts w:hint="eastAsia" w:ascii="仿宋_GB2312" w:hAnsi="仿宋" w:cs="仿宋"/>
                <w:color w:val="000000"/>
                <w:kern w:val="0"/>
                <w:sz w:val="21"/>
                <w:szCs w:val="21"/>
                <w:lang w:eastAsia="zh-CN" w:bidi="ar"/>
              </w:rPr>
              <w:t>三</w:t>
            </w:r>
            <w:r>
              <w:rPr>
                <w:rFonts w:hint="eastAsia" w:ascii="仿宋_GB2312" w:hAnsi="仿宋" w:cs="仿宋"/>
                <w:color w:val="000000"/>
                <w:kern w:val="0"/>
                <w:sz w:val="21"/>
                <w:szCs w:val="21"/>
                <w:lang w:bidi="ar"/>
              </w:rPr>
              <w:t>项</w:t>
            </w:r>
          </w:p>
        </w:tc>
        <w:tc>
          <w:tcPr>
            <w:tcW w:w="5092" w:type="dxa"/>
            <w:noWrap w:val="0"/>
            <w:vAlign w:val="center"/>
          </w:tcPr>
          <w:p w14:paraId="1B3C3D4C">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公共安全视频图像信息系统的使用单位未对公共安全视频图像信息系统的监看和管理人员进行监督管理，初次违法且危害后果轻微并及时改正的，不予处罚。</w:t>
            </w:r>
          </w:p>
        </w:tc>
        <w:tc>
          <w:tcPr>
            <w:tcW w:w="1120" w:type="dxa"/>
            <w:noWrap w:val="0"/>
            <w:vAlign w:val="top"/>
          </w:tcPr>
          <w:p w14:paraId="70697C42">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 xml:space="preserve">《行政处罚法》第三十三条  </w:t>
            </w:r>
          </w:p>
        </w:tc>
        <w:tc>
          <w:tcPr>
            <w:tcW w:w="1706" w:type="dxa"/>
            <w:noWrap w:val="0"/>
            <w:vAlign w:val="center"/>
          </w:tcPr>
          <w:p w14:paraId="62FFE2F9">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加强教育、及时复查整改情况，加强日常检查，并登记初次违规情况。</w:t>
            </w:r>
          </w:p>
        </w:tc>
        <w:tc>
          <w:tcPr>
            <w:tcW w:w="1140" w:type="dxa"/>
            <w:noWrap w:val="0"/>
            <w:vAlign w:val="center"/>
          </w:tcPr>
          <w:p w14:paraId="1FA574B3">
            <w:pPr>
              <w:spacing w:line="240" w:lineRule="exact"/>
              <w:jc w:val="left"/>
              <w:rPr>
                <w:rFonts w:hint="eastAsia" w:ascii="仿宋_GB2312" w:hAnsi="仿宋_GB2312" w:eastAsia="仿宋_GB2312" w:cs="仿宋_GB2312"/>
                <w:b/>
                <w:bCs/>
                <w:kern w:val="2"/>
                <w:sz w:val="21"/>
                <w:szCs w:val="21"/>
                <w:lang w:val="en-US" w:eastAsia="zh-CN" w:bidi="ar-SA"/>
              </w:rPr>
            </w:pPr>
          </w:p>
        </w:tc>
      </w:tr>
      <w:tr w14:paraId="28A3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14" w:type="dxa"/>
            <w:noWrap w:val="0"/>
            <w:vAlign w:val="center"/>
          </w:tcPr>
          <w:p w14:paraId="491D7E9E">
            <w:pPr>
              <w:spacing w:line="240" w:lineRule="exact"/>
              <w:jc w:val="left"/>
              <w:rPr>
                <w:rFonts w:hint="eastAsia" w:ascii="仿宋_GB2312" w:hAnsi="仿宋_GB2312" w:eastAsia="仿宋_GB2312" w:cs="仿宋_GB2312"/>
                <w:bCs/>
                <w:sz w:val="21"/>
                <w:szCs w:val="21"/>
                <w:lang w:eastAsia="zh-CN"/>
              </w:rPr>
            </w:pPr>
            <w:r>
              <w:rPr>
                <w:rFonts w:hint="eastAsia" w:ascii="仿宋_GB2312" w:hAnsi="仿宋_GB2312" w:cs="仿宋_GB2312"/>
                <w:bCs/>
                <w:sz w:val="21"/>
                <w:szCs w:val="21"/>
                <w:lang w:val="en-US" w:eastAsia="zh-CN"/>
              </w:rPr>
              <w:t>8</w:t>
            </w:r>
          </w:p>
        </w:tc>
        <w:tc>
          <w:tcPr>
            <w:tcW w:w="1464" w:type="dxa"/>
            <w:noWrap w:val="0"/>
            <w:vAlign w:val="center"/>
          </w:tcPr>
          <w:p w14:paraId="3A4C7E08">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对未按规定喷涂机动车放大号牌；机动车放大号牌喷涂不清晰；机动车喷涂、粘贴影响安全驾驶的标识、车身广告；未按规定安装防护装置、粘贴反光标识</w:t>
            </w:r>
          </w:p>
        </w:tc>
        <w:tc>
          <w:tcPr>
            <w:tcW w:w="832" w:type="dxa"/>
            <w:noWrap w:val="0"/>
            <w:vAlign w:val="center"/>
          </w:tcPr>
          <w:p w14:paraId="7E1498E6">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440206318000</w:t>
            </w:r>
          </w:p>
        </w:tc>
        <w:tc>
          <w:tcPr>
            <w:tcW w:w="1955" w:type="dxa"/>
            <w:noWrap w:val="0"/>
            <w:vAlign w:val="center"/>
          </w:tcPr>
          <w:p w14:paraId="4A516E27">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1.《中华人民共和国道路交通安全法》第九十条</w:t>
            </w:r>
          </w:p>
          <w:p w14:paraId="09C27629">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2.《中华人民共和国道路交通安全法实施条例》第十三条第三款</w:t>
            </w:r>
          </w:p>
          <w:p w14:paraId="545C05A2">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3.《机动车登记规定》第七十八条第二项</w:t>
            </w:r>
          </w:p>
        </w:tc>
        <w:tc>
          <w:tcPr>
            <w:tcW w:w="5092" w:type="dxa"/>
            <w:noWrap w:val="0"/>
            <w:vAlign w:val="center"/>
          </w:tcPr>
          <w:p w14:paraId="5DD4CAFE">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对未按规定喷涂机动车放大号牌；机动车放大号牌喷涂不清晰；机动车喷涂、粘贴标识车或者车身广告影响安全驾驶，对现场执法发现未造成影响通行和安全后果的轻微交通违法，且当事人及时改正，不予处罚。</w:t>
            </w:r>
          </w:p>
        </w:tc>
        <w:tc>
          <w:tcPr>
            <w:tcW w:w="1120" w:type="dxa"/>
            <w:noWrap w:val="0"/>
            <w:vAlign w:val="center"/>
          </w:tcPr>
          <w:p w14:paraId="0AF41CB3">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《行政处罚法》第三十三条</w:t>
            </w:r>
          </w:p>
        </w:tc>
        <w:tc>
          <w:tcPr>
            <w:tcW w:w="1706" w:type="dxa"/>
            <w:noWrap w:val="0"/>
            <w:vAlign w:val="center"/>
          </w:tcPr>
          <w:p w14:paraId="5BA31453">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w:t>
            </w:r>
          </w:p>
        </w:tc>
        <w:tc>
          <w:tcPr>
            <w:tcW w:w="1140" w:type="dxa"/>
            <w:noWrap w:val="0"/>
            <w:vAlign w:val="center"/>
          </w:tcPr>
          <w:p w14:paraId="1199AB2F">
            <w:pPr>
              <w:spacing w:line="240" w:lineRule="exact"/>
              <w:jc w:val="left"/>
              <w:rPr>
                <w:rFonts w:hint="eastAsia" w:ascii="仿宋_GB2312" w:hAnsi="仿宋" w:eastAsia="仿宋_GB2312" w:cs="仿宋"/>
                <w:b/>
                <w:bCs/>
                <w:color w:val="000000"/>
                <w:kern w:val="0"/>
                <w:sz w:val="21"/>
                <w:szCs w:val="21"/>
                <w:lang w:val="en-US" w:eastAsia="zh-CN" w:bidi="ar"/>
              </w:rPr>
            </w:pPr>
          </w:p>
        </w:tc>
      </w:tr>
      <w:tr w14:paraId="40F7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14" w:type="dxa"/>
            <w:noWrap w:val="0"/>
            <w:vAlign w:val="center"/>
          </w:tcPr>
          <w:p w14:paraId="3BECFD23">
            <w:pPr>
              <w:jc w:val="left"/>
              <w:textAlignment w:val="center"/>
              <w:rPr>
                <w:rFonts w:hint="eastAsia" w:ascii="仿宋_GB2312" w:hAnsi="仿宋" w:eastAsia="仿宋_GB2312" w:cs="仿宋"/>
                <w:color w:val="000000"/>
                <w:kern w:val="0"/>
                <w:sz w:val="21"/>
                <w:szCs w:val="21"/>
                <w:lang w:eastAsia="zh-CN" w:bidi="ar"/>
              </w:rPr>
            </w:pPr>
            <w:r>
              <w:rPr>
                <w:rFonts w:hint="eastAsia" w:ascii="仿宋_GB2312" w:hAnsi="仿宋" w:cs="仿宋"/>
                <w:color w:val="000000"/>
                <w:kern w:val="0"/>
                <w:sz w:val="21"/>
                <w:szCs w:val="21"/>
                <w:lang w:val="en-US" w:eastAsia="zh-CN" w:bidi="ar"/>
              </w:rPr>
              <w:t>9</w:t>
            </w:r>
          </w:p>
        </w:tc>
        <w:tc>
          <w:tcPr>
            <w:tcW w:w="1464" w:type="dxa"/>
            <w:noWrap w:val="0"/>
            <w:vAlign w:val="center"/>
          </w:tcPr>
          <w:p w14:paraId="4B8FB86E">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对在机动车驾驶室放置物品妨碍安全的行为的处罚</w:t>
            </w:r>
          </w:p>
        </w:tc>
        <w:tc>
          <w:tcPr>
            <w:tcW w:w="832" w:type="dxa"/>
            <w:noWrap w:val="0"/>
            <w:vAlign w:val="center"/>
          </w:tcPr>
          <w:p w14:paraId="3296C742">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44020600H000</w:t>
            </w:r>
          </w:p>
        </w:tc>
        <w:tc>
          <w:tcPr>
            <w:tcW w:w="1955" w:type="dxa"/>
            <w:noWrap w:val="0"/>
            <w:vAlign w:val="center"/>
          </w:tcPr>
          <w:p w14:paraId="23013E5F">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1.《中华人民共和国道路交通安全法》第九十条</w:t>
            </w:r>
          </w:p>
          <w:p w14:paraId="7A74D5AD">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2.《中华人民共和国道路交通安全法</w:t>
            </w:r>
            <w:r>
              <w:rPr>
                <w:rFonts w:hint="eastAsia" w:ascii="仿宋_GB2312" w:hAnsi="仿宋" w:cs="仿宋"/>
                <w:color w:val="000000"/>
                <w:kern w:val="0"/>
                <w:sz w:val="21"/>
                <w:szCs w:val="21"/>
                <w:lang w:eastAsia="zh-CN" w:bidi="ar"/>
              </w:rPr>
              <w:t>实施</w:t>
            </w:r>
            <w:r>
              <w:rPr>
                <w:rFonts w:hint="eastAsia" w:ascii="仿宋_GB2312" w:hAnsi="仿宋" w:cs="仿宋"/>
                <w:color w:val="000000"/>
                <w:kern w:val="0"/>
                <w:sz w:val="21"/>
                <w:szCs w:val="21"/>
                <w:lang w:bidi="ar"/>
              </w:rPr>
              <w:t>条例》第六十二条第二项</w:t>
            </w:r>
          </w:p>
          <w:p w14:paraId="766D12F6">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3.《广东省道路交通安全条例》第五十六条第四项</w:t>
            </w:r>
          </w:p>
        </w:tc>
        <w:tc>
          <w:tcPr>
            <w:tcW w:w="5092" w:type="dxa"/>
            <w:noWrap w:val="0"/>
            <w:vAlign w:val="center"/>
          </w:tcPr>
          <w:p w14:paraId="48C203D1">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在机动车驾驶室放置物品妨碍安全，对现场执法发现未造成影响通行和安全后果的轻微交通违法，且当事人及时改正，不予处罚。</w:t>
            </w:r>
          </w:p>
        </w:tc>
        <w:tc>
          <w:tcPr>
            <w:tcW w:w="1120" w:type="dxa"/>
            <w:noWrap w:val="0"/>
            <w:vAlign w:val="center"/>
          </w:tcPr>
          <w:p w14:paraId="4CCAEA2F">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《行政处罚法》第三十三条</w:t>
            </w:r>
          </w:p>
        </w:tc>
        <w:tc>
          <w:tcPr>
            <w:tcW w:w="1706" w:type="dxa"/>
            <w:noWrap w:val="0"/>
            <w:vAlign w:val="center"/>
          </w:tcPr>
          <w:p w14:paraId="7CFC050C">
            <w:pPr>
              <w:widowControl/>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w:t>
            </w:r>
          </w:p>
        </w:tc>
        <w:tc>
          <w:tcPr>
            <w:tcW w:w="1140" w:type="dxa"/>
            <w:noWrap w:val="0"/>
            <w:vAlign w:val="center"/>
          </w:tcPr>
          <w:p w14:paraId="6FC820DA">
            <w:pPr>
              <w:spacing w:line="240" w:lineRule="exact"/>
              <w:jc w:val="left"/>
              <w:rPr>
                <w:rFonts w:ascii="仿宋_GB2312" w:hAnsi="仿宋" w:eastAsia="仿宋_GB2312" w:cs="仿宋"/>
                <w:b/>
                <w:bCs/>
                <w:color w:val="000000"/>
                <w:kern w:val="0"/>
                <w:sz w:val="21"/>
                <w:szCs w:val="21"/>
                <w:lang w:val="en-US" w:eastAsia="zh-CN" w:bidi="ar"/>
              </w:rPr>
            </w:pPr>
          </w:p>
        </w:tc>
      </w:tr>
      <w:tr w14:paraId="10BB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14" w:type="dxa"/>
            <w:noWrap w:val="0"/>
            <w:vAlign w:val="center"/>
          </w:tcPr>
          <w:p w14:paraId="60074D85">
            <w:pPr>
              <w:jc w:val="left"/>
              <w:textAlignment w:val="center"/>
              <w:rPr>
                <w:rFonts w:hint="default" w:ascii="仿宋_GB2312" w:hAnsi="仿宋" w:eastAsia="仿宋_GB2312" w:cs="仿宋"/>
                <w:color w:val="000000"/>
                <w:kern w:val="0"/>
                <w:sz w:val="21"/>
                <w:szCs w:val="21"/>
                <w:lang w:val="en-US" w:eastAsia="zh-CN" w:bidi="ar"/>
              </w:rPr>
            </w:pPr>
            <w:r>
              <w:rPr>
                <w:rFonts w:hint="eastAsia" w:ascii="仿宋_GB2312" w:hAnsi="仿宋" w:cs="仿宋"/>
                <w:color w:val="000000"/>
                <w:kern w:val="0"/>
                <w:sz w:val="21"/>
                <w:szCs w:val="21"/>
                <w:lang w:val="en-US" w:eastAsia="zh-CN" w:bidi="ar"/>
              </w:rPr>
              <w:t>10</w:t>
            </w:r>
          </w:p>
        </w:tc>
        <w:tc>
          <w:tcPr>
            <w:tcW w:w="1464" w:type="dxa"/>
            <w:noWrap w:val="0"/>
            <w:vAlign w:val="center"/>
          </w:tcPr>
          <w:p w14:paraId="625556C0">
            <w:pPr>
              <w:widowControl/>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对驾驶机件不符合技术标准的机动车的行为的处罚</w:t>
            </w:r>
          </w:p>
        </w:tc>
        <w:tc>
          <w:tcPr>
            <w:tcW w:w="832" w:type="dxa"/>
            <w:noWrap w:val="0"/>
            <w:vAlign w:val="center"/>
          </w:tcPr>
          <w:p w14:paraId="696963C9">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44020600G000</w:t>
            </w:r>
          </w:p>
        </w:tc>
        <w:tc>
          <w:tcPr>
            <w:tcW w:w="1955" w:type="dxa"/>
            <w:noWrap w:val="0"/>
            <w:vAlign w:val="center"/>
          </w:tcPr>
          <w:p w14:paraId="56DE5C42">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1.《中华人民共和国道路交通安全法》第二十一条</w:t>
            </w:r>
          </w:p>
          <w:p w14:paraId="2B934534">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2.《中华人民共和国道路交通安全法》第九十条</w:t>
            </w:r>
          </w:p>
          <w:p w14:paraId="15FEB486">
            <w:pPr>
              <w:spacing w:line="240" w:lineRule="exact"/>
              <w:jc w:val="left"/>
              <w:rPr>
                <w:rFonts w:ascii="仿宋_GB2312" w:hAnsi="仿宋" w:cs="仿宋"/>
                <w:color w:val="000000"/>
                <w:kern w:val="0"/>
                <w:sz w:val="21"/>
                <w:szCs w:val="21"/>
                <w:lang w:bidi="ar"/>
              </w:rPr>
            </w:pPr>
          </w:p>
        </w:tc>
        <w:tc>
          <w:tcPr>
            <w:tcW w:w="5092" w:type="dxa"/>
            <w:noWrap w:val="0"/>
            <w:vAlign w:val="center"/>
          </w:tcPr>
          <w:p w14:paraId="189027B9">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 xml:space="preserve">驾驶机件不符合技术标准的机动车，对现场执法发现未造成影响通行和安全后果的轻微交通违法，且当事人及时改正，不予处罚。 </w:t>
            </w:r>
          </w:p>
        </w:tc>
        <w:tc>
          <w:tcPr>
            <w:tcW w:w="1120" w:type="dxa"/>
            <w:noWrap w:val="0"/>
            <w:vAlign w:val="center"/>
          </w:tcPr>
          <w:p w14:paraId="0D590C06">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《行政处罚法》第三十三条</w:t>
            </w:r>
          </w:p>
        </w:tc>
        <w:tc>
          <w:tcPr>
            <w:tcW w:w="1706" w:type="dxa"/>
            <w:noWrap w:val="0"/>
            <w:vAlign w:val="center"/>
          </w:tcPr>
          <w:p w14:paraId="5C2F8138">
            <w:pPr>
              <w:widowControl/>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w:t>
            </w:r>
          </w:p>
        </w:tc>
        <w:tc>
          <w:tcPr>
            <w:tcW w:w="1140" w:type="dxa"/>
            <w:noWrap w:val="0"/>
            <w:vAlign w:val="center"/>
          </w:tcPr>
          <w:p w14:paraId="386F1C18">
            <w:pPr>
              <w:spacing w:line="240" w:lineRule="exact"/>
              <w:jc w:val="left"/>
              <w:rPr>
                <w:rFonts w:ascii="仿宋_GB2312" w:hAnsi="仿宋" w:eastAsia="仿宋_GB2312" w:cs="仿宋"/>
                <w:b/>
                <w:bCs/>
                <w:color w:val="000000"/>
                <w:kern w:val="0"/>
                <w:sz w:val="21"/>
                <w:szCs w:val="21"/>
                <w:lang w:val="en-US" w:eastAsia="zh-CN" w:bidi="ar"/>
              </w:rPr>
            </w:pPr>
          </w:p>
        </w:tc>
      </w:tr>
      <w:tr w14:paraId="5358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14" w:type="dxa"/>
            <w:noWrap w:val="0"/>
            <w:vAlign w:val="center"/>
          </w:tcPr>
          <w:p w14:paraId="7645BA31">
            <w:pPr>
              <w:jc w:val="left"/>
              <w:textAlignment w:val="center"/>
              <w:rPr>
                <w:rFonts w:hint="eastAsia" w:ascii="仿宋_GB2312" w:hAnsi="仿宋" w:eastAsia="仿宋_GB2312" w:cs="仿宋"/>
                <w:color w:val="000000"/>
                <w:kern w:val="0"/>
                <w:sz w:val="21"/>
                <w:szCs w:val="21"/>
                <w:lang w:eastAsia="zh-CN" w:bidi="ar"/>
              </w:rPr>
            </w:pPr>
            <w:r>
              <w:rPr>
                <w:rFonts w:hint="eastAsia" w:ascii="仿宋_GB2312" w:hAnsi="仿宋" w:cs="仿宋"/>
                <w:color w:val="000000"/>
                <w:kern w:val="0"/>
                <w:sz w:val="21"/>
                <w:szCs w:val="21"/>
                <w:lang w:bidi="ar"/>
              </w:rPr>
              <w:t>1</w:t>
            </w:r>
            <w:r>
              <w:rPr>
                <w:rFonts w:hint="eastAsia" w:ascii="仿宋_GB2312" w:hAnsi="仿宋" w:cs="仿宋"/>
                <w:color w:val="000000"/>
                <w:kern w:val="0"/>
                <w:sz w:val="21"/>
                <w:szCs w:val="21"/>
                <w:lang w:val="en-US" w:eastAsia="zh-CN" w:bidi="ar"/>
              </w:rPr>
              <w:t>1</w:t>
            </w:r>
          </w:p>
        </w:tc>
        <w:tc>
          <w:tcPr>
            <w:tcW w:w="1464" w:type="dxa"/>
            <w:noWrap w:val="0"/>
            <w:vAlign w:val="center"/>
          </w:tcPr>
          <w:p w14:paraId="6C867CF5">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对在车门、车厢没有关好时行车的行为的处罚</w:t>
            </w:r>
          </w:p>
        </w:tc>
        <w:tc>
          <w:tcPr>
            <w:tcW w:w="832" w:type="dxa"/>
            <w:noWrap w:val="0"/>
            <w:vAlign w:val="center"/>
          </w:tcPr>
          <w:p w14:paraId="1E44D2CF">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44020600F000</w:t>
            </w:r>
          </w:p>
        </w:tc>
        <w:tc>
          <w:tcPr>
            <w:tcW w:w="1955" w:type="dxa"/>
            <w:noWrap w:val="0"/>
            <w:vAlign w:val="center"/>
          </w:tcPr>
          <w:p w14:paraId="4F30393E">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1.《中华人民共和国道路交通安全法》第九十条</w:t>
            </w:r>
          </w:p>
          <w:p w14:paraId="42D7923C">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2.《中华人民共和国道路交通安全法实施条例》第六十二条第一项</w:t>
            </w:r>
          </w:p>
          <w:p w14:paraId="2D211343">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3.《广东省道路交通安全条例》第五十六条第六项</w:t>
            </w:r>
          </w:p>
        </w:tc>
        <w:tc>
          <w:tcPr>
            <w:tcW w:w="5092" w:type="dxa"/>
            <w:noWrap w:val="0"/>
            <w:vAlign w:val="center"/>
          </w:tcPr>
          <w:p w14:paraId="37EDAE08">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在车门、车厢没有关好时行车，对现场执法发现未造成影响通行和安全后果的轻微交通违法，其当事人及时改正，不予处罚。</w:t>
            </w:r>
          </w:p>
        </w:tc>
        <w:tc>
          <w:tcPr>
            <w:tcW w:w="1120" w:type="dxa"/>
            <w:noWrap w:val="0"/>
            <w:vAlign w:val="center"/>
          </w:tcPr>
          <w:p w14:paraId="66BD7DD2">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《行政处罚法》第三十三条</w:t>
            </w:r>
          </w:p>
        </w:tc>
        <w:tc>
          <w:tcPr>
            <w:tcW w:w="1706" w:type="dxa"/>
            <w:noWrap w:val="0"/>
            <w:vAlign w:val="center"/>
          </w:tcPr>
          <w:p w14:paraId="555BEDD3">
            <w:pPr>
              <w:widowControl/>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w:t>
            </w:r>
          </w:p>
        </w:tc>
        <w:tc>
          <w:tcPr>
            <w:tcW w:w="1140" w:type="dxa"/>
            <w:noWrap w:val="0"/>
            <w:vAlign w:val="center"/>
          </w:tcPr>
          <w:p w14:paraId="1B32EF7F">
            <w:pPr>
              <w:spacing w:line="240" w:lineRule="exact"/>
              <w:jc w:val="left"/>
              <w:rPr>
                <w:rFonts w:ascii="仿宋_GB2312" w:hAnsi="仿宋" w:eastAsia="仿宋_GB2312" w:cs="仿宋"/>
                <w:b/>
                <w:bCs/>
                <w:color w:val="000000"/>
                <w:kern w:val="0"/>
                <w:sz w:val="21"/>
                <w:szCs w:val="21"/>
                <w:lang w:val="en-US" w:eastAsia="zh-CN" w:bidi="ar"/>
              </w:rPr>
            </w:pPr>
          </w:p>
        </w:tc>
      </w:tr>
      <w:tr w14:paraId="5DD0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14" w:type="dxa"/>
            <w:noWrap w:val="0"/>
            <w:vAlign w:val="center"/>
          </w:tcPr>
          <w:p w14:paraId="055E07FF">
            <w:pPr>
              <w:jc w:val="left"/>
              <w:textAlignment w:val="center"/>
              <w:rPr>
                <w:rFonts w:hint="eastAsia" w:ascii="仿宋_GB2312" w:hAnsi="仿宋" w:eastAsia="仿宋_GB2312" w:cs="仿宋"/>
                <w:color w:val="000000"/>
                <w:kern w:val="0"/>
                <w:sz w:val="21"/>
                <w:szCs w:val="21"/>
                <w:lang w:eastAsia="zh-CN" w:bidi="ar"/>
              </w:rPr>
            </w:pPr>
            <w:r>
              <w:rPr>
                <w:rFonts w:hint="eastAsia" w:ascii="仿宋_GB2312" w:hAnsi="仿宋" w:cs="仿宋"/>
                <w:color w:val="000000"/>
                <w:kern w:val="0"/>
                <w:sz w:val="21"/>
                <w:szCs w:val="21"/>
                <w:lang w:bidi="ar"/>
              </w:rPr>
              <w:t>1</w:t>
            </w:r>
            <w:r>
              <w:rPr>
                <w:rFonts w:hint="eastAsia" w:ascii="仿宋_GB2312" w:hAnsi="仿宋" w:cs="仿宋"/>
                <w:color w:val="000000"/>
                <w:kern w:val="0"/>
                <w:sz w:val="21"/>
                <w:szCs w:val="21"/>
                <w:lang w:val="en-US" w:eastAsia="zh-CN" w:bidi="ar"/>
              </w:rPr>
              <w:t>2</w:t>
            </w:r>
          </w:p>
        </w:tc>
        <w:tc>
          <w:tcPr>
            <w:tcW w:w="1464" w:type="dxa"/>
            <w:noWrap w:val="0"/>
            <w:vAlign w:val="center"/>
          </w:tcPr>
          <w:p w14:paraId="15C8297E">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对机动车在没有划分机动车道、非机动车道和人行道的道路上不在道路中间通行的行为的处罚</w:t>
            </w:r>
          </w:p>
        </w:tc>
        <w:tc>
          <w:tcPr>
            <w:tcW w:w="832" w:type="dxa"/>
            <w:noWrap w:val="0"/>
            <w:vAlign w:val="center"/>
          </w:tcPr>
          <w:p w14:paraId="77B967E7">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44020600E000</w:t>
            </w:r>
          </w:p>
        </w:tc>
        <w:tc>
          <w:tcPr>
            <w:tcW w:w="1955" w:type="dxa"/>
            <w:noWrap w:val="0"/>
            <w:vAlign w:val="center"/>
          </w:tcPr>
          <w:p w14:paraId="4C2D0AC4">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1.《中华人民共和国道路交通安全法》第九十条</w:t>
            </w:r>
          </w:p>
          <w:p w14:paraId="78B567DD">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2.《中华人民共和国道路交通安全法》第三十六条</w:t>
            </w:r>
          </w:p>
          <w:p w14:paraId="55279DE1">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3.《广东省道路交通安全条例》第五十六条第七项</w:t>
            </w:r>
          </w:p>
        </w:tc>
        <w:tc>
          <w:tcPr>
            <w:tcW w:w="5092" w:type="dxa"/>
            <w:noWrap w:val="0"/>
            <w:vAlign w:val="center"/>
          </w:tcPr>
          <w:p w14:paraId="3891CAF7">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机动车在没有划分机动车道、非机动车进和人行道的道路上不在道路中间通行。对现场执法发现未造成影响通行和安全后果的轻微交通违法，且当事人及时改正，不予处罚。</w:t>
            </w:r>
          </w:p>
        </w:tc>
        <w:tc>
          <w:tcPr>
            <w:tcW w:w="1120" w:type="dxa"/>
            <w:noWrap w:val="0"/>
            <w:vAlign w:val="center"/>
          </w:tcPr>
          <w:p w14:paraId="3906CC6B">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《行政处罚法》第三十三条</w:t>
            </w:r>
          </w:p>
        </w:tc>
        <w:tc>
          <w:tcPr>
            <w:tcW w:w="1706" w:type="dxa"/>
            <w:noWrap w:val="0"/>
            <w:vAlign w:val="center"/>
          </w:tcPr>
          <w:p w14:paraId="05BD40AF">
            <w:pPr>
              <w:widowControl/>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w:t>
            </w:r>
          </w:p>
        </w:tc>
        <w:tc>
          <w:tcPr>
            <w:tcW w:w="1140" w:type="dxa"/>
            <w:noWrap w:val="0"/>
            <w:vAlign w:val="center"/>
          </w:tcPr>
          <w:p w14:paraId="40775336">
            <w:pPr>
              <w:spacing w:line="240" w:lineRule="exact"/>
              <w:jc w:val="left"/>
              <w:rPr>
                <w:rFonts w:ascii="仿宋_GB2312" w:hAnsi="仿宋" w:eastAsia="仿宋_GB2312" w:cs="仿宋"/>
                <w:b/>
                <w:bCs/>
                <w:color w:val="000000"/>
                <w:kern w:val="0"/>
                <w:sz w:val="21"/>
                <w:szCs w:val="21"/>
                <w:lang w:val="en-US" w:eastAsia="zh-CN" w:bidi="ar"/>
              </w:rPr>
            </w:pPr>
          </w:p>
        </w:tc>
      </w:tr>
      <w:tr w14:paraId="4053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14" w:type="dxa"/>
            <w:noWrap w:val="0"/>
            <w:vAlign w:val="center"/>
          </w:tcPr>
          <w:p w14:paraId="23D90E91">
            <w:pPr>
              <w:jc w:val="left"/>
              <w:textAlignment w:val="center"/>
              <w:rPr>
                <w:rFonts w:hint="eastAsia" w:ascii="仿宋_GB2312" w:hAnsi="仿宋" w:eastAsia="仿宋_GB2312" w:cs="仿宋"/>
                <w:color w:val="000000"/>
                <w:kern w:val="0"/>
                <w:sz w:val="21"/>
                <w:szCs w:val="21"/>
                <w:lang w:val="en-US" w:eastAsia="zh-CN" w:bidi="ar"/>
              </w:rPr>
            </w:pPr>
            <w:r>
              <w:rPr>
                <w:rFonts w:hint="eastAsia" w:ascii="仿宋_GB2312" w:hAnsi="仿宋" w:cs="仿宋"/>
                <w:color w:val="000000"/>
                <w:kern w:val="0"/>
                <w:sz w:val="21"/>
                <w:szCs w:val="21"/>
                <w:lang w:bidi="ar"/>
              </w:rPr>
              <w:t>1</w:t>
            </w:r>
            <w:r>
              <w:rPr>
                <w:rFonts w:hint="eastAsia" w:ascii="仿宋_GB2312" w:hAnsi="仿宋" w:cs="仿宋"/>
                <w:color w:val="000000"/>
                <w:kern w:val="0"/>
                <w:sz w:val="21"/>
                <w:szCs w:val="21"/>
                <w:lang w:val="en-US" w:eastAsia="zh-CN" w:bidi="ar"/>
              </w:rPr>
              <w:t>3</w:t>
            </w:r>
          </w:p>
        </w:tc>
        <w:tc>
          <w:tcPr>
            <w:tcW w:w="1464" w:type="dxa"/>
            <w:noWrap w:val="0"/>
            <w:vAlign w:val="center"/>
          </w:tcPr>
          <w:p w14:paraId="658D1AFE">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对挂车的灯光信号、制动、连接、安全防护等装置不符合国家标准的行为的处罚</w:t>
            </w:r>
          </w:p>
        </w:tc>
        <w:tc>
          <w:tcPr>
            <w:tcW w:w="832" w:type="dxa"/>
            <w:noWrap w:val="0"/>
            <w:vAlign w:val="center"/>
          </w:tcPr>
          <w:p w14:paraId="787AAAB0">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44020600J000</w:t>
            </w:r>
          </w:p>
        </w:tc>
        <w:tc>
          <w:tcPr>
            <w:tcW w:w="1955" w:type="dxa"/>
            <w:noWrap w:val="0"/>
            <w:vAlign w:val="center"/>
          </w:tcPr>
          <w:p w14:paraId="55E31286">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1.《中华人民共和国道路交通安全法》第九十条</w:t>
            </w:r>
          </w:p>
          <w:p w14:paraId="222B2275">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2.《中华人民共和国道路交通安全法实施条例》第五十六条条第一项、第一百零二条</w:t>
            </w:r>
          </w:p>
          <w:p w14:paraId="2A4EBECA">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3.《广东省道路交通安全条例》第五十七条第八项</w:t>
            </w:r>
          </w:p>
        </w:tc>
        <w:tc>
          <w:tcPr>
            <w:tcW w:w="5092" w:type="dxa"/>
            <w:noWrap w:val="0"/>
            <w:vAlign w:val="center"/>
          </w:tcPr>
          <w:p w14:paraId="693E6E76">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挂车的灯光信号、制动、连接、安全防护等装置不符合国家标准，对现场执法发现未造成影响通行和安全后果的轻微交通违法，且当事人及时改正，不予处罚。</w:t>
            </w:r>
          </w:p>
        </w:tc>
        <w:tc>
          <w:tcPr>
            <w:tcW w:w="1120" w:type="dxa"/>
            <w:noWrap w:val="0"/>
            <w:vAlign w:val="center"/>
          </w:tcPr>
          <w:p w14:paraId="3E5E0B91">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《行政处罚法》第三十三条</w:t>
            </w:r>
          </w:p>
        </w:tc>
        <w:tc>
          <w:tcPr>
            <w:tcW w:w="1706" w:type="dxa"/>
            <w:noWrap w:val="0"/>
            <w:vAlign w:val="center"/>
          </w:tcPr>
          <w:p w14:paraId="4049A106">
            <w:pPr>
              <w:widowControl/>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w:t>
            </w:r>
          </w:p>
        </w:tc>
        <w:tc>
          <w:tcPr>
            <w:tcW w:w="1140" w:type="dxa"/>
            <w:noWrap w:val="0"/>
            <w:vAlign w:val="center"/>
          </w:tcPr>
          <w:p w14:paraId="4A0DB2B9">
            <w:pPr>
              <w:spacing w:line="240" w:lineRule="exact"/>
              <w:jc w:val="left"/>
              <w:rPr>
                <w:rFonts w:ascii="仿宋_GB2312" w:hAnsi="仿宋" w:eastAsia="仿宋_GB2312" w:cs="仿宋"/>
                <w:b/>
                <w:bCs/>
                <w:color w:val="000000"/>
                <w:kern w:val="0"/>
                <w:sz w:val="21"/>
                <w:szCs w:val="21"/>
                <w:lang w:val="en-US" w:eastAsia="zh-CN" w:bidi="ar"/>
              </w:rPr>
            </w:pPr>
          </w:p>
        </w:tc>
      </w:tr>
    </w:tbl>
    <w:p w14:paraId="5D335D59">
      <w:pPr>
        <w:jc w:val="left"/>
        <w:textAlignment w:val="center"/>
        <w:rPr>
          <w:rFonts w:hint="eastAsia" w:ascii="仿宋_GB2312" w:hAnsi="仿宋" w:cs="仿宋"/>
          <w:color w:val="000000"/>
          <w:kern w:val="0"/>
          <w:sz w:val="21"/>
          <w:szCs w:val="21"/>
          <w:lang w:bidi="ar"/>
        </w:rPr>
      </w:pPr>
    </w:p>
    <w:sectPr>
      <w:headerReference r:id="rId3" w:type="default"/>
      <w:pgSz w:w="16838" w:h="11906" w:orient="landscape"/>
      <w:pgMar w:top="1474" w:right="1474" w:bottom="158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F23A">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wMzcyZmFlN2YzZDdkMGE4OGM2MDg0MzA3NTQ2MTMifQ=="/>
  </w:docVars>
  <w:rsids>
    <w:rsidRoot w:val="46F463B5"/>
    <w:rsid w:val="00034EB9"/>
    <w:rsid w:val="00042554"/>
    <w:rsid w:val="00043F44"/>
    <w:rsid w:val="00093E28"/>
    <w:rsid w:val="001712AF"/>
    <w:rsid w:val="00180B86"/>
    <w:rsid w:val="001E3817"/>
    <w:rsid w:val="0020248E"/>
    <w:rsid w:val="002F5BE0"/>
    <w:rsid w:val="00362343"/>
    <w:rsid w:val="003D56B0"/>
    <w:rsid w:val="003E59FB"/>
    <w:rsid w:val="004B38A9"/>
    <w:rsid w:val="005B713C"/>
    <w:rsid w:val="006228E9"/>
    <w:rsid w:val="00673E6A"/>
    <w:rsid w:val="00695C0B"/>
    <w:rsid w:val="006A4F19"/>
    <w:rsid w:val="006B07E7"/>
    <w:rsid w:val="008233A0"/>
    <w:rsid w:val="009C316C"/>
    <w:rsid w:val="00B661FB"/>
    <w:rsid w:val="00C23731"/>
    <w:rsid w:val="00CD62C8"/>
    <w:rsid w:val="00D75ECE"/>
    <w:rsid w:val="00DB430B"/>
    <w:rsid w:val="00EB3D13"/>
    <w:rsid w:val="00F05AC0"/>
    <w:rsid w:val="013A418D"/>
    <w:rsid w:val="055C132D"/>
    <w:rsid w:val="10071652"/>
    <w:rsid w:val="10FC0801"/>
    <w:rsid w:val="1E027A77"/>
    <w:rsid w:val="256736AA"/>
    <w:rsid w:val="358F2B5E"/>
    <w:rsid w:val="3FD71216"/>
    <w:rsid w:val="46F463B5"/>
    <w:rsid w:val="54F824E2"/>
    <w:rsid w:val="5AD4555F"/>
    <w:rsid w:val="5C317267"/>
    <w:rsid w:val="5FCA42EC"/>
    <w:rsid w:val="63043D0B"/>
    <w:rsid w:val="7EDFA7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autoRedefine/>
    <w:qFormat/>
    <w:uiPriority w:val="0"/>
    <w:pPr>
      <w:keepNext w:val="0"/>
      <w:keepLines w:val="0"/>
      <w:spacing w:beforeLines="0" w:beforeAutospacing="0" w:afterLines="0" w:afterAutospacing="0" w:line="560" w:lineRule="exact"/>
      <w:outlineLvl w:val="0"/>
    </w:pPr>
    <w:rPr>
      <w:rFonts w:eastAsia="仿宋_GB2312"/>
      <w:kern w:val="44"/>
      <w:sz w:val="32"/>
    </w:rPr>
  </w:style>
  <w:style w:type="character" w:default="1" w:styleId="6">
    <w:name w:val="Default Paragraph Font"/>
    <w:autoRedefine/>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7"/>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autoRedefine/>
    <w:qFormat/>
    <w:uiPriority w:val="0"/>
    <w:rPr>
      <w:rFonts w:eastAsia="仿宋_GB2312"/>
      <w:kern w:val="2"/>
      <w:sz w:val="18"/>
      <w:szCs w:val="18"/>
    </w:rPr>
  </w:style>
  <w:style w:type="character" w:customStyle="1" w:styleId="8">
    <w:name w:val="页眉 Char"/>
    <w:basedOn w:val="6"/>
    <w:link w:val="4"/>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2600</Words>
  <Characters>2779</Characters>
  <Lines>23</Lines>
  <Paragraphs>6</Paragraphs>
  <TotalTime>5</TotalTime>
  <ScaleCrop>false</ScaleCrop>
  <LinksUpToDate>false</LinksUpToDate>
  <CharactersWithSpaces>2788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2022-09-19T22:51:00Z</dcterms:created>
  <dc:creator>065642</dc:creator>
  <cp:lastModifiedBy>BoBoBo</cp:lastModifiedBy>
  <cp:lastPrinted>2022-09-20T18:09:00Z</cp:lastPrinted>
  <dcterms:modified xsi:type="dcterms:W3CDTF">2025-10-15T07:44:43Z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B5D1911D660F429398DC00063C7AD2DD_13</vt:lpwstr>
  </property>
  <property fmtid="{D5CDD505-2E9C-101B-9397-08002B2CF9AE}" pid="4" name="KSOTemplateDocerSaveRecord">
    <vt:lpwstr>eyJoZGlkIjoiOTIwMzcyZmFlN2YzZDdkMGE4OGM2MDg0MzA3NTQ2MTMiLCJ1c2VySWQiOiIzMjYzOTQ5NTMifQ==</vt:lpwstr>
  </property>
</Properties>
</file>