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B8410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深圳市公安局“双随机、一公开”涉企</w:t>
      </w:r>
    </w:p>
    <w:p w14:paraId="27FE2E3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行政检查规范标准（</w:t>
      </w:r>
      <w:r>
        <w:rPr>
          <w:rFonts w:hint="eastAsia" w:ascii="方正小标宋简体" w:hAnsi="方正小标宋简体" w:eastAsia="方正小标宋简体" w:cs="方正小标宋简体"/>
          <w:sz w:val="44"/>
          <w:szCs w:val="44"/>
          <w:lang w:val="en-US" w:eastAsia="zh-CN"/>
        </w:rPr>
        <w:t>2026</w:t>
      </w:r>
      <w:r>
        <w:rPr>
          <w:rFonts w:hint="eastAsia" w:ascii="方正小标宋简体" w:hAnsi="方正小标宋简体" w:eastAsia="方正小标宋简体" w:cs="方正小标宋简体"/>
          <w:sz w:val="44"/>
          <w:szCs w:val="44"/>
          <w:lang w:eastAsia="zh-CN"/>
        </w:rPr>
        <w:t>）</w:t>
      </w:r>
    </w:p>
    <w:p w14:paraId="6B1D6358">
      <w:pPr>
        <w:jc w:val="left"/>
        <w:rPr>
          <w:rFonts w:hint="eastAsia" w:ascii="仿宋_GB2312" w:hAnsi="仿宋_GB2312" w:eastAsia="仿宋_GB2312" w:cs="仿宋_GB2312"/>
          <w:sz w:val="32"/>
          <w:szCs w:val="32"/>
          <w:lang w:eastAsia="zh-CN"/>
        </w:rPr>
      </w:pPr>
    </w:p>
    <w:p w14:paraId="5B3969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一、对银行金融机构内部治安保卫工作监督检查</w:t>
      </w:r>
    </w:p>
    <w:p w14:paraId="0777A7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0B5059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《企业事业单位内部治安保卫条例》（国务院令第421号）第三条</w:t>
      </w:r>
    </w:p>
    <w:p w14:paraId="1DDAC9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70897D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1.是否符合《银行安全防范要求》（GA38-2021）标准。</w:t>
      </w:r>
    </w:p>
    <w:p w14:paraId="2D203B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2.银行数据中心及联网监控中心安全防范情况是否落实到位。</w:t>
      </w:r>
    </w:p>
    <w:p w14:paraId="5745B8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3.是否开展银行安全防范知识教育培训情况。</w:t>
      </w:r>
    </w:p>
    <w:p w14:paraId="17D00B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4.是否落实银行案件防范管理制度和安全规章制度。</w:t>
      </w:r>
    </w:p>
    <w:p w14:paraId="4F8410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5.银行防抢劫、防暴恐、防爆炸等突发事件应急预案演练是否落实。</w:t>
      </w:r>
    </w:p>
    <w:p w14:paraId="55E438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6.银行是否按要求配备专职保卫机构和专兼职保卫人员。</w:t>
      </w:r>
    </w:p>
    <w:p w14:paraId="6B4846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二、对学校内部治安保卫工作监督检查</w:t>
      </w:r>
    </w:p>
    <w:p w14:paraId="65D8D5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15E9951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《企业事业单位内部治安保卫条例》（</w:t>
      </w:r>
      <w:r>
        <w:rPr>
          <w:rFonts w:hint="eastAsia" w:ascii="仿宋_GB2312" w:hAnsi="仿宋_GB2312" w:eastAsia="仿宋_GB2312" w:cs="仿宋_GB2312"/>
          <w:sz w:val="32"/>
          <w:szCs w:val="32"/>
          <w:lang w:val="en-US" w:eastAsia="zh-CN"/>
        </w:rPr>
        <w:t>国务院令第</w:t>
      </w:r>
      <w:r>
        <w:rPr>
          <w:rFonts w:hint="default" w:ascii="仿宋_GB2312" w:hAnsi="仿宋_GB2312" w:eastAsia="仿宋_GB2312" w:cs="仿宋_GB2312"/>
          <w:sz w:val="32"/>
          <w:szCs w:val="32"/>
          <w:lang w:val="en-US" w:eastAsia="zh-CN"/>
        </w:rPr>
        <w:t>421号）第三条</w:t>
      </w:r>
    </w:p>
    <w:p w14:paraId="44F40B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18C9AF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1.学校、幼儿园门卫室是否落实值班、问询、登记、巡逻和检查制度；是否安装来访人员登记系统，是否及时记录来访人员姓名及证件、车牌号。</w:t>
      </w:r>
    </w:p>
    <w:p w14:paraId="18E758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2.是否开展法制安全教育，是否检查校园并督促整改治安隐患，是否开展涉校矛盾纠纷隐患排查。</w:t>
      </w:r>
    </w:p>
    <w:p w14:paraId="6D975E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3.保安员人数（2，6，10）是否配备足够，有无保安员证，证件有效期情况，有无定期开展培训。</w:t>
      </w:r>
    </w:p>
    <w:p w14:paraId="2DC8C4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4.校园是否建立有足够高度的实体围墙。实体围墙是否安装防攀爬装置。</w:t>
      </w:r>
    </w:p>
    <w:p w14:paraId="457460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5.校园重点部位是否安装高清监控探头、监控全覆盖不留死角，录像保存期限能否达到30日要求，能否识别车牌号、人脸面貌特征。</w:t>
      </w:r>
    </w:p>
    <w:p w14:paraId="6C5042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6.学校门卫室、宿舍楼值班室是否安装一键报警装置，并连接到属地公安机关。</w:t>
      </w:r>
    </w:p>
    <w:p w14:paraId="460AA0E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7.防护装备是否配备齐全，保卫人员能否熟练使用。</w:t>
      </w:r>
    </w:p>
    <w:p w14:paraId="3F5A19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8.是否开展周边专项排查，集中摸排整治校园周边的流动摊贩、店铺、午托晚托场所等使用、储存易燃易爆、危险物质的情况。</w:t>
      </w:r>
    </w:p>
    <w:p w14:paraId="07C773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9.是否制定暴恐事件、食物中毒、拥挤踩踏等突发安全事件应急预案并组织演练。</w:t>
      </w:r>
    </w:p>
    <w:p w14:paraId="1EFF16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10.是否安装防治校园欺凌和暴力警务灯箱和宣传海报，并通过多项措施积极开展防治校园欺凌和暴力工作。</w:t>
      </w:r>
    </w:p>
    <w:p w14:paraId="11CBE7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三、对医院内部治安保卫工作监督检查</w:t>
      </w:r>
    </w:p>
    <w:p w14:paraId="59D045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276971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《企业事业单位内部治安保卫条例》（</w:t>
      </w:r>
      <w:r>
        <w:rPr>
          <w:rFonts w:hint="eastAsia" w:ascii="仿宋_GB2312" w:hAnsi="仿宋_GB2312" w:eastAsia="仿宋_GB2312" w:cs="仿宋_GB2312"/>
          <w:sz w:val="32"/>
          <w:szCs w:val="32"/>
          <w:lang w:val="en-US" w:eastAsia="zh-CN"/>
        </w:rPr>
        <w:t>国务院令第</w:t>
      </w:r>
      <w:r>
        <w:rPr>
          <w:rFonts w:hint="default" w:ascii="仿宋_GB2312" w:hAnsi="仿宋_GB2312" w:eastAsia="仿宋_GB2312" w:cs="仿宋_GB2312"/>
          <w:sz w:val="32"/>
          <w:szCs w:val="32"/>
          <w:lang w:val="en-US" w:eastAsia="zh-CN"/>
        </w:rPr>
        <w:t>421号）第三条</w:t>
      </w:r>
    </w:p>
    <w:p w14:paraId="5F172C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733198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1.制定单位内部治安突发事件处置预案，并定期演练。</w:t>
      </w:r>
    </w:p>
    <w:p w14:paraId="0D3DF7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2.是否制定应急处置机制和预案，是否定期开展演练。</w:t>
      </w:r>
    </w:p>
    <w:p w14:paraId="3BC64C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3.在单位范围内进行治安防范巡逻和检查，建立巡逻、检查和治安隐患整改记录。</w:t>
      </w:r>
    </w:p>
    <w:p w14:paraId="2F77F2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4.单位应当根据内部治安保卫工作需要，设置治安保卫机构或者配备专职、兼职治安保卫人员。</w:t>
      </w:r>
    </w:p>
    <w:p w14:paraId="07A207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5.治安保卫重点单位应当确定本单位的治安保卫重要部位，按照有关国家标准对重要部位设置必要的技术防范设施，并实施重点保护。</w:t>
      </w:r>
    </w:p>
    <w:p w14:paraId="75B906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6.是否建立门卫制度并严格落实，是否实施24小时值班守护制度。</w:t>
      </w:r>
    </w:p>
    <w:p w14:paraId="5D1CAE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7.开展治安防范宣传教育，并落实本单位的内部治安保卫制度和治安防范措施。</w:t>
      </w:r>
    </w:p>
    <w:p w14:paraId="625448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8.治安保卫重点单位应当设置与治安保卫任务相适应的治安保卫机构，配备专职治安保卫人员，并将治安保卫机构的设置和人员的配备情况报主管公安机关备案。</w:t>
      </w:r>
    </w:p>
    <w:p w14:paraId="7F8B27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9.有适应单位具体情况的内部治安保卫制度、措施和必要的治安防范设施</w:t>
      </w:r>
      <w:r>
        <w:rPr>
          <w:rFonts w:hint="eastAsia" w:ascii="仿宋_GB2312" w:hAnsi="仿宋_GB2312" w:eastAsia="仿宋_GB2312" w:cs="仿宋_GB2312"/>
          <w:sz w:val="32"/>
          <w:szCs w:val="32"/>
          <w:lang w:val="en-US" w:eastAsia="zh-CN"/>
        </w:rPr>
        <w:t>。</w:t>
      </w:r>
    </w:p>
    <w:p w14:paraId="181E77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四、对已取得特种行业许可证的旅馆、酒店、宾馆、招待所等场所进行治安情况检查</w:t>
      </w:r>
    </w:p>
    <w:p w14:paraId="0E3C00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7EDEF5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《旅馆业治安管理办法》（国务院令第752号）；《广东省旅馆业治安管理规定》（省人民政府令第315号）</w:t>
      </w:r>
    </w:p>
    <w:p w14:paraId="5F332B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4B9D7A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1.必要的防盗、视频监控等设施是否符合治安、安全防范有关规定及标准</w:t>
      </w:r>
      <w:r>
        <w:rPr>
          <w:rFonts w:hint="eastAsia" w:ascii="仿宋_GB2312" w:hAnsi="仿宋_GB2312" w:eastAsia="仿宋_GB2312" w:cs="仿宋_GB2312"/>
          <w:sz w:val="32"/>
          <w:szCs w:val="32"/>
          <w:lang w:val="en-US" w:eastAsia="zh-CN"/>
        </w:rPr>
        <w:t>。</w:t>
      </w:r>
    </w:p>
    <w:p w14:paraId="72BA69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2.治安、安全管理制度、措施建立和落实情况</w:t>
      </w:r>
      <w:r>
        <w:rPr>
          <w:rFonts w:hint="eastAsia" w:ascii="仿宋_GB2312" w:hAnsi="仿宋_GB2312" w:eastAsia="仿宋_GB2312" w:cs="仿宋_GB2312"/>
          <w:sz w:val="32"/>
          <w:szCs w:val="32"/>
          <w:lang w:val="en-US" w:eastAsia="zh-CN"/>
        </w:rPr>
        <w:t>。</w:t>
      </w:r>
    </w:p>
    <w:p w14:paraId="4C212D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3.治安管理信息系统建设和应用情况</w:t>
      </w:r>
      <w:r>
        <w:rPr>
          <w:rFonts w:hint="eastAsia" w:ascii="仿宋_GB2312" w:hAnsi="仿宋_GB2312" w:eastAsia="仿宋_GB2312" w:cs="仿宋_GB2312"/>
          <w:sz w:val="32"/>
          <w:szCs w:val="32"/>
          <w:lang w:val="en-US" w:eastAsia="zh-CN"/>
        </w:rPr>
        <w:t>。</w:t>
      </w:r>
    </w:p>
    <w:p w14:paraId="745BFC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4.是否存在违法犯罪情况</w:t>
      </w:r>
      <w:r>
        <w:rPr>
          <w:rFonts w:hint="eastAsia" w:ascii="仿宋_GB2312" w:hAnsi="仿宋_GB2312" w:eastAsia="仿宋_GB2312" w:cs="仿宋_GB2312"/>
          <w:sz w:val="32"/>
          <w:szCs w:val="32"/>
          <w:lang w:val="en-US" w:eastAsia="zh-CN"/>
        </w:rPr>
        <w:t>。</w:t>
      </w:r>
    </w:p>
    <w:p w14:paraId="3E72D1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5.提供住宿服务项目的场所落实实名登记情况</w:t>
      </w:r>
      <w:r>
        <w:rPr>
          <w:rFonts w:hint="eastAsia" w:ascii="仿宋_GB2312" w:hAnsi="仿宋_GB2312" w:eastAsia="仿宋_GB2312" w:cs="仿宋_GB2312"/>
          <w:sz w:val="32"/>
          <w:szCs w:val="32"/>
          <w:lang w:val="en-US" w:eastAsia="zh-CN"/>
        </w:rPr>
        <w:t>。</w:t>
      </w:r>
    </w:p>
    <w:p w14:paraId="2FE2A1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6.其他与治安管理有关且应当进行公开检查的事项。</w:t>
      </w:r>
    </w:p>
    <w:p w14:paraId="112126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7.相关许可证是否齐全情况。</w:t>
      </w:r>
    </w:p>
    <w:p w14:paraId="0F1ECF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五、对已取得娱乐经营许可证的歌舞、电子游艺场所进行治安情况检查</w:t>
      </w:r>
    </w:p>
    <w:p w14:paraId="144A04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2A863D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《娱乐场所管理条例》（国务院令第732号）；《娱乐场所治安管理办法》（公安部令第103号）</w:t>
      </w:r>
    </w:p>
    <w:p w14:paraId="12D44A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119EEE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安全设施是否符合治安、安全防范有关规定及标准</w:t>
      </w:r>
      <w:r>
        <w:rPr>
          <w:rFonts w:hint="eastAsia" w:ascii="仿宋_GB2312" w:hAnsi="仿宋_GB2312" w:eastAsia="仿宋_GB2312" w:cs="仿宋_GB2312"/>
          <w:sz w:val="32"/>
          <w:szCs w:val="32"/>
          <w:lang w:val="en-US" w:eastAsia="zh-CN"/>
        </w:rPr>
        <w:t>。</w:t>
      </w:r>
    </w:p>
    <w:p w14:paraId="21458B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治安、安全巡查制度、措施建立和落实情况</w:t>
      </w:r>
      <w:r>
        <w:rPr>
          <w:rFonts w:hint="eastAsia" w:ascii="仿宋_GB2312" w:hAnsi="仿宋_GB2312" w:eastAsia="仿宋_GB2312" w:cs="仿宋_GB2312"/>
          <w:sz w:val="32"/>
          <w:szCs w:val="32"/>
          <w:lang w:val="en-US" w:eastAsia="zh-CN"/>
        </w:rPr>
        <w:t>。</w:t>
      </w:r>
    </w:p>
    <w:p w14:paraId="78167D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治安管理信息系统建设和应用情况</w:t>
      </w:r>
      <w:r>
        <w:rPr>
          <w:rFonts w:hint="eastAsia" w:ascii="仿宋_GB2312" w:hAnsi="仿宋_GB2312" w:eastAsia="仿宋_GB2312" w:cs="仿宋_GB2312"/>
          <w:sz w:val="32"/>
          <w:szCs w:val="32"/>
          <w:lang w:val="en-US" w:eastAsia="zh-CN"/>
        </w:rPr>
        <w:t>。</w:t>
      </w:r>
    </w:p>
    <w:p w14:paraId="22F2D6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是否存在违法犯罪情况</w:t>
      </w:r>
      <w:r>
        <w:rPr>
          <w:rFonts w:hint="eastAsia" w:ascii="仿宋_GB2312" w:hAnsi="仿宋_GB2312" w:eastAsia="仿宋_GB2312" w:cs="仿宋_GB2312"/>
          <w:sz w:val="32"/>
          <w:szCs w:val="32"/>
          <w:lang w:val="en-US" w:eastAsia="zh-CN"/>
        </w:rPr>
        <w:t>。</w:t>
      </w:r>
    </w:p>
    <w:p w14:paraId="11EC18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其他与治安管理有关且应当进行公开检查的事项</w:t>
      </w:r>
      <w:r>
        <w:rPr>
          <w:rFonts w:hint="eastAsia" w:ascii="仿宋_GB2312" w:hAnsi="仿宋_GB2312" w:eastAsia="仿宋_GB2312" w:cs="仿宋_GB2312"/>
          <w:sz w:val="32"/>
          <w:szCs w:val="32"/>
          <w:lang w:val="en-US" w:eastAsia="zh-CN"/>
        </w:rPr>
        <w:t>。</w:t>
      </w:r>
    </w:p>
    <w:p w14:paraId="6F65D9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法定代表人或者主要负责人履行治安、安全责任情况</w:t>
      </w:r>
      <w:r>
        <w:rPr>
          <w:rFonts w:hint="eastAsia" w:ascii="仿宋_GB2312" w:hAnsi="仿宋_GB2312" w:eastAsia="仿宋_GB2312" w:cs="仿宋_GB2312"/>
          <w:sz w:val="32"/>
          <w:szCs w:val="32"/>
          <w:lang w:val="en-US" w:eastAsia="zh-CN"/>
        </w:rPr>
        <w:t>。</w:t>
      </w:r>
    </w:p>
    <w:p w14:paraId="30DE10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开业、变更后是否按规定到公安机关备案</w:t>
      </w:r>
      <w:r>
        <w:rPr>
          <w:rFonts w:hint="eastAsia" w:ascii="仿宋_GB2312" w:hAnsi="仿宋_GB2312" w:eastAsia="仿宋_GB2312" w:cs="仿宋_GB2312"/>
          <w:sz w:val="32"/>
          <w:szCs w:val="32"/>
          <w:lang w:val="en-US" w:eastAsia="zh-CN"/>
        </w:rPr>
        <w:t>。</w:t>
      </w:r>
    </w:p>
    <w:p w14:paraId="110CDB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六、典当企业监督检查</w:t>
      </w:r>
    </w:p>
    <w:p w14:paraId="252C03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2558D7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《典当管理办法》（商务部、公安部2005年第8号令）第四条</w:t>
      </w:r>
    </w:p>
    <w:p w14:paraId="42B436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5DB18B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1.法定代表人或者主要负责人履行治安、安全责任情况</w:t>
      </w:r>
      <w:r>
        <w:rPr>
          <w:rFonts w:hint="eastAsia" w:ascii="仿宋_GB2312" w:hAnsi="仿宋_GB2312" w:eastAsia="仿宋_GB2312" w:cs="仿宋_GB2312"/>
          <w:sz w:val="32"/>
          <w:szCs w:val="32"/>
          <w:lang w:val="en-US" w:eastAsia="zh-CN"/>
        </w:rPr>
        <w:t>。</w:t>
      </w:r>
    </w:p>
    <w:p w14:paraId="008468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2.设施、设备是否符合治安、安全防范有关规定及标准</w:t>
      </w:r>
      <w:r>
        <w:rPr>
          <w:rFonts w:hint="eastAsia" w:ascii="仿宋_GB2312" w:hAnsi="仿宋_GB2312" w:eastAsia="仿宋_GB2312" w:cs="仿宋_GB2312"/>
          <w:sz w:val="32"/>
          <w:szCs w:val="32"/>
          <w:lang w:val="en-US" w:eastAsia="zh-CN"/>
        </w:rPr>
        <w:t>。</w:t>
      </w:r>
    </w:p>
    <w:p w14:paraId="44D95E9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3.治安、安全防范制度、措施建立和落实情况</w:t>
      </w:r>
      <w:r>
        <w:rPr>
          <w:rFonts w:hint="eastAsia" w:ascii="仿宋_GB2312" w:hAnsi="仿宋_GB2312" w:eastAsia="仿宋_GB2312" w:cs="仿宋_GB2312"/>
          <w:sz w:val="32"/>
          <w:szCs w:val="32"/>
          <w:lang w:val="en-US" w:eastAsia="zh-CN"/>
        </w:rPr>
        <w:t>。</w:t>
      </w:r>
    </w:p>
    <w:p w14:paraId="147102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4.治安管理信息系统建设和应用情况</w:t>
      </w:r>
      <w:r>
        <w:rPr>
          <w:rFonts w:hint="eastAsia" w:ascii="仿宋_GB2312" w:hAnsi="仿宋_GB2312" w:eastAsia="仿宋_GB2312" w:cs="仿宋_GB2312"/>
          <w:sz w:val="32"/>
          <w:szCs w:val="32"/>
          <w:lang w:val="en-US" w:eastAsia="zh-CN"/>
        </w:rPr>
        <w:t>。</w:t>
      </w:r>
    </w:p>
    <w:p w14:paraId="6EC78D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5.有无收当禁当物品</w:t>
      </w:r>
      <w:r>
        <w:rPr>
          <w:rFonts w:hint="eastAsia" w:ascii="仿宋_GB2312" w:hAnsi="仿宋_GB2312" w:eastAsia="仿宋_GB2312" w:cs="仿宋_GB2312"/>
          <w:sz w:val="32"/>
          <w:szCs w:val="32"/>
          <w:lang w:val="en-US" w:eastAsia="zh-CN"/>
        </w:rPr>
        <w:t>。</w:t>
      </w:r>
    </w:p>
    <w:p w14:paraId="4A480B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6.有无按规定查验证明文件</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 xml:space="preserve"> </w:t>
      </w:r>
    </w:p>
    <w:p w14:paraId="3B2945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7.有无发现禁当财物不报。</w:t>
      </w:r>
    </w:p>
    <w:p w14:paraId="6BC0A1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七、获取特种行业许可证的印章刻制企业监督检查</w:t>
      </w:r>
    </w:p>
    <w:p w14:paraId="509A9C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36D0BC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《广东省印章刻制管理规定》</w:t>
      </w:r>
    </w:p>
    <w:p w14:paraId="6AA9EC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6F6277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1.法定代表人或者主要负责人履行治安、安全责任情况。</w:t>
      </w:r>
    </w:p>
    <w:p w14:paraId="3B31B5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2.是否存在违法犯罪情况。</w:t>
      </w:r>
    </w:p>
    <w:p w14:paraId="2A4E13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3.设施、设备是否符合治安、安全防范有关规定及标准。</w:t>
      </w:r>
    </w:p>
    <w:p w14:paraId="503F53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4.治安、安全防范制度、措施建立和落实情况。</w:t>
      </w:r>
    </w:p>
    <w:p w14:paraId="3B28C8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5.治安管理信息系统建设和应用情况。</w:t>
      </w:r>
    </w:p>
    <w:p w14:paraId="0926BB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6.其他与治安管理有关且应当进行公开检查的事项。</w:t>
      </w:r>
    </w:p>
    <w:p w14:paraId="03BAF5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八、对按摩、桑拿、水会等按摩服务场所进行治安情况检查</w:t>
      </w:r>
    </w:p>
    <w:p w14:paraId="2AA183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2418D5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《广东省按摩服务场所治安管理规定》（广东省人民政府令第209号）</w:t>
      </w:r>
    </w:p>
    <w:p w14:paraId="3B42A0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586898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1.开业、变更后是否按规定到公安机关报送治安信息。</w:t>
      </w:r>
    </w:p>
    <w:p w14:paraId="5C6CC5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2.法定代表人或者主要负责人履行治安、安全责任情况。</w:t>
      </w:r>
    </w:p>
    <w:p w14:paraId="1F284A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3.安全设施是否符合治安、安全管理有关规定及标准。</w:t>
      </w:r>
    </w:p>
    <w:p w14:paraId="063C9E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4.其他与治安管理有关且应当进行公开检查的事项。</w:t>
      </w:r>
    </w:p>
    <w:p w14:paraId="5B607E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5.治安管理信息系统建设和应用情况。</w:t>
      </w:r>
    </w:p>
    <w:p w14:paraId="5110AA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6.是否存在违法犯罪情况。</w:t>
      </w:r>
    </w:p>
    <w:p w14:paraId="09E8AD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7.提供留宿服务项目的场所落实实名登记情况。</w:t>
      </w:r>
    </w:p>
    <w:p w14:paraId="6E8AB6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8.治安、安全管理制度、措施建立和落实情况。</w:t>
      </w:r>
    </w:p>
    <w:p w14:paraId="19F270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九、机动车修理企业或者个体工商户监督检查</w:t>
      </w:r>
    </w:p>
    <w:p w14:paraId="77F8D6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065A11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《公安部关于机动车修理业、报废机动车回收业治安管理办法》公安部令第38号第三条</w:t>
      </w:r>
    </w:p>
    <w:p w14:paraId="5E95AB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3C5393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1.承修机动车是否如实登记。</w:t>
      </w:r>
    </w:p>
    <w:p w14:paraId="1289EB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2.其他与治安管理有关且应当进行公开检查的事项。</w:t>
      </w:r>
    </w:p>
    <w:p w14:paraId="2B2847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3.回收报废机动车是否如实登记。</w:t>
      </w:r>
    </w:p>
    <w:p w14:paraId="1B034F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4.治安管理信息系统建设和应用情况。</w:t>
      </w:r>
    </w:p>
    <w:p w14:paraId="34B257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5.设施、设备是否符合治安、安全防范有关规定及标准。</w:t>
      </w:r>
    </w:p>
    <w:p w14:paraId="5CA20D1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6.治安、安全防范制度、措施建立和落实情况。</w:t>
      </w:r>
    </w:p>
    <w:p w14:paraId="72D0937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7.法定代表人或者主要负责人履行治安、安全责任情况。</w:t>
      </w:r>
    </w:p>
    <w:p w14:paraId="7926E9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十、从事废旧金属收购的企业</w:t>
      </w:r>
    </w:p>
    <w:p w14:paraId="0F5A79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78FB46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《废旧金属收购业治安管理办法》（公安部令第16号）第十一条 、《广东省反销赃条例》（2020年修订）第二条</w:t>
      </w:r>
    </w:p>
    <w:p w14:paraId="56F05F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073E5E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收购生产性废旧金属是否如实登记</w:t>
      </w:r>
      <w:r>
        <w:rPr>
          <w:rFonts w:hint="eastAsia" w:ascii="仿宋_GB2312" w:hAnsi="仿宋_GB2312" w:eastAsia="仿宋_GB2312" w:cs="仿宋_GB2312"/>
          <w:sz w:val="32"/>
          <w:szCs w:val="32"/>
          <w:lang w:val="en-US" w:eastAsia="zh-CN"/>
        </w:rPr>
        <w:t>。</w:t>
      </w:r>
    </w:p>
    <w:p w14:paraId="2555F9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其他与治安管理有关且应当进行公开检查的事项</w:t>
      </w:r>
      <w:r>
        <w:rPr>
          <w:rFonts w:hint="eastAsia" w:ascii="仿宋_GB2312" w:hAnsi="仿宋_GB2312" w:eastAsia="仿宋_GB2312" w:cs="仿宋_GB2312"/>
          <w:sz w:val="32"/>
          <w:szCs w:val="32"/>
          <w:lang w:val="en-US" w:eastAsia="zh-CN"/>
        </w:rPr>
        <w:t>。</w:t>
      </w:r>
    </w:p>
    <w:p w14:paraId="1D5454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治安管理信息系统建设和应用情况</w:t>
      </w:r>
      <w:r>
        <w:rPr>
          <w:rFonts w:hint="eastAsia" w:ascii="仿宋_GB2312" w:hAnsi="仿宋_GB2312" w:eastAsia="仿宋_GB2312" w:cs="仿宋_GB2312"/>
          <w:sz w:val="32"/>
          <w:szCs w:val="32"/>
          <w:lang w:val="en-US" w:eastAsia="zh-CN"/>
        </w:rPr>
        <w:t>。</w:t>
      </w:r>
    </w:p>
    <w:p w14:paraId="67AF63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治安、安全防范制度、措施建立和落实情况</w:t>
      </w:r>
      <w:r>
        <w:rPr>
          <w:rFonts w:hint="eastAsia" w:ascii="仿宋_GB2312" w:hAnsi="仿宋_GB2312" w:eastAsia="仿宋_GB2312" w:cs="仿宋_GB2312"/>
          <w:sz w:val="32"/>
          <w:szCs w:val="32"/>
          <w:lang w:val="en-US" w:eastAsia="zh-CN"/>
        </w:rPr>
        <w:t>。</w:t>
      </w:r>
    </w:p>
    <w:p w14:paraId="1D938B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法定代表人或者主要负责人履行治安、安全责任情况</w:t>
      </w:r>
      <w:r>
        <w:rPr>
          <w:rFonts w:hint="eastAsia" w:ascii="仿宋_GB2312" w:hAnsi="仿宋_GB2312" w:eastAsia="仿宋_GB2312" w:cs="仿宋_GB2312"/>
          <w:sz w:val="32"/>
          <w:szCs w:val="32"/>
          <w:lang w:val="en-US" w:eastAsia="zh-CN"/>
        </w:rPr>
        <w:t>。</w:t>
      </w:r>
    </w:p>
    <w:p w14:paraId="23169B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设施、设备是否符合治安、安全防范有关规定及标准</w:t>
      </w:r>
      <w:r>
        <w:rPr>
          <w:rFonts w:hint="eastAsia" w:ascii="仿宋_GB2312" w:hAnsi="仿宋_GB2312" w:eastAsia="仿宋_GB2312" w:cs="仿宋_GB2312"/>
          <w:sz w:val="32"/>
          <w:szCs w:val="32"/>
          <w:lang w:val="en-US" w:eastAsia="zh-CN"/>
        </w:rPr>
        <w:t>。</w:t>
      </w:r>
    </w:p>
    <w:p w14:paraId="48C37B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是否非法设点收购废旧金属</w:t>
      </w:r>
      <w:r>
        <w:rPr>
          <w:rFonts w:hint="eastAsia" w:ascii="仿宋_GB2312" w:hAnsi="仿宋_GB2312" w:eastAsia="仿宋_GB2312" w:cs="仿宋_GB2312"/>
          <w:sz w:val="32"/>
          <w:szCs w:val="32"/>
          <w:lang w:val="en-US" w:eastAsia="zh-CN"/>
        </w:rPr>
        <w:t>。</w:t>
      </w:r>
    </w:p>
    <w:p w14:paraId="61CEC4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十一、保安服务公司的监督检查</w:t>
      </w:r>
    </w:p>
    <w:p w14:paraId="198520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65B160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《保安服务管理条例》第三条、第三十六条规定；《公安机关实施保安服务管理条例办法》第二条、第三十七条规定</w:t>
      </w:r>
    </w:p>
    <w:p w14:paraId="15A5BA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2EF1BA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1.设立分公司和跨省、自治区、直辖市开展保安服务是否备案。</w:t>
      </w:r>
    </w:p>
    <w:p w14:paraId="29E665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2.保安服务公司的法定代表人是否变更。</w:t>
      </w:r>
    </w:p>
    <w:p w14:paraId="55687C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3.保安服务中涉及的安全技术防范产品、设备安装、变更、使用是否符合国家规定标准。</w:t>
      </w:r>
    </w:p>
    <w:p w14:paraId="1E64C7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4.是否建立保安服务管理制度、岗位责任制度、保安员管理制度和紧急情况应急预案。</w:t>
      </w:r>
    </w:p>
    <w:p w14:paraId="1F15EE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5.是否建立从事武装守护押运服务的保安服务公司公务用枪安全管理制度和保管设施建设。</w:t>
      </w:r>
    </w:p>
    <w:p w14:paraId="3D7D00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6.保安员是否持证、按规定着装。</w:t>
      </w:r>
    </w:p>
    <w:p w14:paraId="24957B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7.其他需要检查的事项。</w:t>
      </w:r>
    </w:p>
    <w:p w14:paraId="42835F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8.保投诉举报事项是否纠正。</w:t>
      </w:r>
    </w:p>
    <w:p w14:paraId="6EEBB9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9.保安服务公司是否持有保安服务许可证。</w:t>
      </w:r>
    </w:p>
    <w:p w14:paraId="49C185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10.保安服务合同和监控影像资料、报警记录是否按规定留存。</w:t>
      </w:r>
    </w:p>
    <w:p w14:paraId="690CCE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十二、自行招用保安员单位的监督检查</w:t>
      </w:r>
    </w:p>
    <w:p w14:paraId="0786A2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26C0AB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《保安服务管理条例》第三条、第三十六条和《公安机关实施保安服务管理条例办法》第二条、第三十八条</w:t>
      </w:r>
    </w:p>
    <w:p w14:paraId="379A96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265573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保安服务管理制度、岗位责任制度、保安员管理制度和紧急情况应急预案是否建立</w:t>
      </w:r>
      <w:r>
        <w:rPr>
          <w:rFonts w:hint="eastAsia" w:ascii="仿宋_GB2312" w:hAnsi="仿宋_GB2312" w:eastAsia="仿宋_GB2312" w:cs="仿宋_GB2312"/>
          <w:sz w:val="32"/>
          <w:szCs w:val="32"/>
          <w:lang w:val="en-US" w:eastAsia="zh-CN"/>
        </w:rPr>
        <w:t>。</w:t>
      </w:r>
    </w:p>
    <w:p w14:paraId="214B2A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监控影像资料、报警记录是否留存30天以上</w:t>
      </w:r>
      <w:r>
        <w:rPr>
          <w:rFonts w:hint="eastAsia" w:ascii="仿宋_GB2312" w:hAnsi="仿宋_GB2312" w:eastAsia="仿宋_GB2312" w:cs="仿宋_GB2312"/>
          <w:sz w:val="32"/>
          <w:szCs w:val="32"/>
          <w:lang w:val="en-US" w:eastAsia="zh-CN"/>
        </w:rPr>
        <w:t>。</w:t>
      </w:r>
    </w:p>
    <w:p w14:paraId="7CC2CB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自行招用的保安员是否持有保安员证</w:t>
      </w:r>
      <w:bookmarkStart w:id="0" w:name="_GoBack"/>
      <w:bookmarkEnd w:id="0"/>
      <w:r>
        <w:rPr>
          <w:rFonts w:hint="default" w:ascii="仿宋_GB2312" w:hAnsi="仿宋_GB2312" w:eastAsia="仿宋_GB2312" w:cs="仿宋_GB2312"/>
          <w:sz w:val="32"/>
          <w:szCs w:val="32"/>
          <w:lang w:val="en-US" w:eastAsia="zh-CN"/>
        </w:rPr>
        <w:t>及其服装、保安服务标志与装备管理情况</w:t>
      </w:r>
      <w:r>
        <w:rPr>
          <w:rFonts w:hint="eastAsia" w:ascii="仿宋_GB2312" w:hAnsi="仿宋_GB2312" w:eastAsia="仿宋_GB2312" w:cs="仿宋_GB2312"/>
          <w:sz w:val="32"/>
          <w:szCs w:val="32"/>
          <w:lang w:val="en-US" w:eastAsia="zh-CN"/>
        </w:rPr>
        <w:t>。</w:t>
      </w:r>
    </w:p>
    <w:p w14:paraId="7D020F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被投诉举报事项是否纠正</w:t>
      </w:r>
      <w:r>
        <w:rPr>
          <w:rFonts w:hint="eastAsia" w:ascii="仿宋_GB2312" w:hAnsi="仿宋_GB2312" w:eastAsia="仿宋_GB2312" w:cs="仿宋_GB2312"/>
          <w:sz w:val="32"/>
          <w:szCs w:val="32"/>
          <w:lang w:val="en-US" w:eastAsia="zh-CN"/>
        </w:rPr>
        <w:t>。</w:t>
      </w:r>
    </w:p>
    <w:p w14:paraId="45283C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其他需要检查的事项</w:t>
      </w:r>
      <w:r>
        <w:rPr>
          <w:rFonts w:hint="eastAsia" w:ascii="仿宋_GB2312" w:hAnsi="仿宋_GB2312" w:eastAsia="仿宋_GB2312" w:cs="仿宋_GB2312"/>
          <w:sz w:val="32"/>
          <w:szCs w:val="32"/>
          <w:lang w:val="en-US" w:eastAsia="zh-CN"/>
        </w:rPr>
        <w:t>。</w:t>
      </w:r>
    </w:p>
    <w:p w14:paraId="6FB185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自行招用保安员单位是否备案</w:t>
      </w:r>
      <w:r>
        <w:rPr>
          <w:rFonts w:hint="eastAsia" w:ascii="仿宋_GB2312" w:hAnsi="仿宋_GB2312" w:eastAsia="仿宋_GB2312" w:cs="仿宋_GB2312"/>
          <w:sz w:val="32"/>
          <w:szCs w:val="32"/>
          <w:lang w:val="en-US" w:eastAsia="zh-CN"/>
        </w:rPr>
        <w:t>。</w:t>
      </w:r>
    </w:p>
    <w:p w14:paraId="7D957C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是否建立依法配备的公务用枪安全管理制度和保管设施建设</w:t>
      </w:r>
      <w:r>
        <w:rPr>
          <w:rFonts w:hint="eastAsia" w:ascii="仿宋_GB2312" w:hAnsi="仿宋_GB2312" w:eastAsia="仿宋_GB2312" w:cs="仿宋_GB2312"/>
          <w:sz w:val="32"/>
          <w:szCs w:val="32"/>
          <w:lang w:val="en-US" w:eastAsia="zh-CN"/>
        </w:rPr>
        <w:t>。</w:t>
      </w:r>
    </w:p>
    <w:p w14:paraId="0C340E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保安员有无进行在岗培训、合法权益是否得到保障</w:t>
      </w:r>
      <w:r>
        <w:rPr>
          <w:rFonts w:hint="eastAsia" w:ascii="仿宋_GB2312" w:hAnsi="仿宋_GB2312" w:eastAsia="仿宋_GB2312" w:cs="仿宋_GB2312"/>
          <w:sz w:val="32"/>
          <w:szCs w:val="32"/>
          <w:lang w:val="en-US" w:eastAsia="zh-CN"/>
        </w:rPr>
        <w:t>。</w:t>
      </w:r>
    </w:p>
    <w:p w14:paraId="512097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en-US" w:eastAsia="zh-CN"/>
        </w:rPr>
        <w:t>保安服务中涉及的安全技术防范产品、设备安装、变更、使用是否符合国家规定标准</w:t>
      </w:r>
      <w:r>
        <w:rPr>
          <w:rFonts w:hint="eastAsia" w:ascii="仿宋_GB2312" w:hAnsi="仿宋_GB2312" w:eastAsia="仿宋_GB2312" w:cs="仿宋_GB2312"/>
          <w:sz w:val="32"/>
          <w:szCs w:val="32"/>
          <w:lang w:val="en-US" w:eastAsia="zh-CN"/>
        </w:rPr>
        <w:t>。</w:t>
      </w:r>
    </w:p>
    <w:p w14:paraId="628650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十三、保安培训单位的监督检查</w:t>
      </w:r>
    </w:p>
    <w:p w14:paraId="2478AB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3BB877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《保安服务管理条例》第三条、第三十六条；《公安机关实施保安服务管理条例办法》第二条、第三十九条</w:t>
      </w:r>
    </w:p>
    <w:p w14:paraId="4B08C0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30F82F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保安单位是否向公安机关备案</w:t>
      </w:r>
      <w:r>
        <w:rPr>
          <w:rFonts w:hint="eastAsia" w:ascii="仿宋_GB2312" w:hAnsi="仿宋_GB2312" w:eastAsia="仿宋_GB2312" w:cs="仿宋_GB2312"/>
          <w:sz w:val="32"/>
          <w:szCs w:val="32"/>
          <w:lang w:val="en-US" w:eastAsia="zh-CN"/>
        </w:rPr>
        <w:t>。</w:t>
      </w:r>
    </w:p>
    <w:p w14:paraId="68F68D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保安专业师资人员是否具有大学本科以上学历或10以上治安保卫管理经历</w:t>
      </w:r>
      <w:r>
        <w:rPr>
          <w:rFonts w:hint="eastAsia" w:ascii="仿宋_GB2312" w:hAnsi="仿宋_GB2312" w:eastAsia="仿宋_GB2312" w:cs="仿宋_GB2312"/>
          <w:sz w:val="32"/>
          <w:szCs w:val="32"/>
          <w:lang w:val="en-US" w:eastAsia="zh-CN"/>
        </w:rPr>
        <w:t>。</w:t>
      </w:r>
    </w:p>
    <w:p w14:paraId="284468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是否按照保安员培训教学大纲进行培训</w:t>
      </w:r>
      <w:r>
        <w:rPr>
          <w:rFonts w:hint="eastAsia" w:ascii="仿宋_GB2312" w:hAnsi="仿宋_GB2312" w:eastAsia="仿宋_GB2312" w:cs="仿宋_GB2312"/>
          <w:sz w:val="32"/>
          <w:szCs w:val="32"/>
          <w:lang w:val="en-US" w:eastAsia="zh-CN"/>
        </w:rPr>
        <w:t>。</w:t>
      </w:r>
    </w:p>
    <w:p w14:paraId="1D179D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是否建立枪支使用培训单位备案情况和枪支安全管理制度与保管设施建设</w:t>
      </w:r>
      <w:r>
        <w:rPr>
          <w:rFonts w:hint="eastAsia" w:ascii="仿宋_GB2312" w:hAnsi="仿宋_GB2312" w:eastAsia="仿宋_GB2312" w:cs="仿宋_GB2312"/>
          <w:sz w:val="32"/>
          <w:szCs w:val="32"/>
          <w:lang w:val="en-US" w:eastAsia="zh-CN"/>
        </w:rPr>
        <w:t>。</w:t>
      </w:r>
    </w:p>
    <w:p w14:paraId="3EBE52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其他需要检查的事项</w:t>
      </w:r>
      <w:r>
        <w:rPr>
          <w:rFonts w:hint="eastAsia" w:ascii="仿宋_GB2312" w:hAnsi="仿宋_GB2312" w:eastAsia="仿宋_GB2312" w:cs="仿宋_GB2312"/>
          <w:sz w:val="32"/>
          <w:szCs w:val="32"/>
          <w:lang w:val="en-US" w:eastAsia="zh-CN"/>
        </w:rPr>
        <w:t>。</w:t>
      </w:r>
    </w:p>
    <w:p w14:paraId="0EC9A6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十四、寄递物流企业内部治安保卫工作落实情况</w:t>
      </w:r>
    </w:p>
    <w:p w14:paraId="2FEBA0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1F2F431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《企业事业单位内部治安保卫条例》（</w:t>
      </w:r>
      <w:r>
        <w:rPr>
          <w:rFonts w:hint="eastAsia" w:ascii="仿宋_GB2312" w:hAnsi="仿宋_GB2312" w:eastAsia="仿宋_GB2312" w:cs="仿宋_GB2312"/>
          <w:sz w:val="32"/>
          <w:szCs w:val="32"/>
          <w:lang w:val="en-US" w:eastAsia="zh-CN"/>
        </w:rPr>
        <w:t>国务院令第</w:t>
      </w:r>
      <w:r>
        <w:rPr>
          <w:rFonts w:hint="default" w:ascii="仿宋_GB2312" w:hAnsi="仿宋_GB2312" w:eastAsia="仿宋_GB2312" w:cs="仿宋_GB2312"/>
          <w:sz w:val="32"/>
          <w:szCs w:val="32"/>
          <w:lang w:val="en-US" w:eastAsia="zh-CN"/>
        </w:rPr>
        <w:t>421号）第三条</w:t>
      </w:r>
    </w:p>
    <w:p w14:paraId="232111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2D0BF3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1.在开业、变更后是否有按规定到邮管局、市交通运输局备案。</w:t>
      </w:r>
    </w:p>
    <w:p w14:paraId="1916FB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2.企业保卫机构负责人、保卫干部是否履行内部安全保卫责任。</w:t>
      </w:r>
    </w:p>
    <w:p w14:paraId="7927C7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3.是否落实实名登记、开箱验视、过机安检三项制度。</w:t>
      </w:r>
    </w:p>
    <w:p w14:paraId="469C35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4.是否落实内部治安保卫制度、建立相关措施。</w:t>
      </w:r>
    </w:p>
    <w:p w14:paraId="56595D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5.是否存在寄递物流企业、从业人员违法犯罪情况。</w:t>
      </w:r>
    </w:p>
    <w:p w14:paraId="507243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6.是否落实人防、物防、技防设施、设备有关规定及标准。</w:t>
      </w:r>
    </w:p>
    <w:p w14:paraId="6B4ACB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十五、爆破作业单位作业情况的检查</w:t>
      </w:r>
    </w:p>
    <w:p w14:paraId="6B9737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1EEDAF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《民用爆炸物品安全管理条例》（国务院令第466号）第四条</w:t>
      </w:r>
    </w:p>
    <w:p w14:paraId="4925EB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28FEC2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1.爆破方案是否在许可有效期内或进行了延期备案</w:t>
      </w:r>
      <w:r>
        <w:rPr>
          <w:rFonts w:hint="eastAsia" w:ascii="仿宋_GB2312" w:hAnsi="仿宋_GB2312" w:eastAsia="仿宋_GB2312" w:cs="仿宋_GB2312"/>
          <w:sz w:val="32"/>
          <w:szCs w:val="32"/>
          <w:lang w:val="en-US" w:eastAsia="zh-CN"/>
        </w:rPr>
        <w:t>。</w:t>
      </w:r>
    </w:p>
    <w:p w14:paraId="033E5F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2.是否遵守安全作业流程</w:t>
      </w:r>
      <w:r>
        <w:rPr>
          <w:rFonts w:hint="eastAsia" w:ascii="仿宋_GB2312" w:hAnsi="仿宋_GB2312" w:eastAsia="仿宋_GB2312" w:cs="仿宋_GB2312"/>
          <w:sz w:val="32"/>
          <w:szCs w:val="32"/>
          <w:lang w:val="en-US" w:eastAsia="zh-CN"/>
        </w:rPr>
        <w:t>。</w:t>
      </w:r>
    </w:p>
    <w:p w14:paraId="1DC61D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3.爆破作业人员是否持有有效证件</w:t>
      </w:r>
      <w:r>
        <w:rPr>
          <w:rFonts w:hint="eastAsia" w:ascii="仿宋_GB2312" w:hAnsi="仿宋_GB2312" w:eastAsia="仿宋_GB2312" w:cs="仿宋_GB2312"/>
          <w:sz w:val="32"/>
          <w:szCs w:val="32"/>
          <w:lang w:val="en-US" w:eastAsia="zh-CN"/>
        </w:rPr>
        <w:t>。</w:t>
      </w:r>
    </w:p>
    <w:p w14:paraId="1E3F0E9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4.是否采用电雷管专用测试仪</w:t>
      </w:r>
      <w:r>
        <w:rPr>
          <w:rFonts w:hint="eastAsia" w:ascii="仿宋_GB2312" w:hAnsi="仿宋_GB2312" w:eastAsia="仿宋_GB2312" w:cs="仿宋_GB2312"/>
          <w:sz w:val="32"/>
          <w:szCs w:val="32"/>
          <w:lang w:val="en-US" w:eastAsia="zh-CN"/>
        </w:rPr>
        <w:t>。</w:t>
      </w:r>
    </w:p>
    <w:p w14:paraId="6E7CA3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5.是否按设计采取有效的覆盖防护和保护性防护措施</w:t>
      </w:r>
      <w:r>
        <w:rPr>
          <w:rFonts w:hint="eastAsia" w:ascii="仿宋_GB2312" w:hAnsi="仿宋_GB2312" w:eastAsia="仿宋_GB2312" w:cs="仿宋_GB2312"/>
          <w:sz w:val="32"/>
          <w:szCs w:val="32"/>
          <w:lang w:val="en-US" w:eastAsia="zh-CN"/>
        </w:rPr>
        <w:t>。</w:t>
      </w:r>
    </w:p>
    <w:p w14:paraId="6B0EAA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6.警戒人员是否明确警戒信号的意义，警戒点布置是否合理</w:t>
      </w:r>
      <w:r>
        <w:rPr>
          <w:rFonts w:hint="eastAsia" w:ascii="仿宋_GB2312" w:hAnsi="仿宋_GB2312" w:eastAsia="仿宋_GB2312" w:cs="仿宋_GB2312"/>
          <w:sz w:val="32"/>
          <w:szCs w:val="32"/>
          <w:lang w:val="en-US" w:eastAsia="zh-CN"/>
        </w:rPr>
        <w:t>。</w:t>
      </w:r>
    </w:p>
    <w:p w14:paraId="081CFC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7.清场、警戒工作是否组织良好，是否符合规定距离</w:t>
      </w:r>
      <w:r>
        <w:rPr>
          <w:rFonts w:hint="eastAsia" w:ascii="仿宋_GB2312" w:hAnsi="仿宋_GB2312" w:eastAsia="仿宋_GB2312" w:cs="仿宋_GB2312"/>
          <w:sz w:val="32"/>
          <w:szCs w:val="32"/>
          <w:lang w:val="en-US" w:eastAsia="zh-CN"/>
        </w:rPr>
        <w:t>。</w:t>
      </w:r>
    </w:p>
    <w:p w14:paraId="5F94F0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8.是否组织爆后检查并按规定排除未引爆的爆破器材</w:t>
      </w:r>
      <w:r>
        <w:rPr>
          <w:rFonts w:hint="eastAsia" w:ascii="仿宋_GB2312" w:hAnsi="仿宋_GB2312" w:eastAsia="仿宋_GB2312" w:cs="仿宋_GB2312"/>
          <w:sz w:val="32"/>
          <w:szCs w:val="32"/>
          <w:lang w:val="en-US" w:eastAsia="zh-CN"/>
        </w:rPr>
        <w:t>。</w:t>
      </w:r>
    </w:p>
    <w:p w14:paraId="32EB1D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十六、爆破作业单位有关制度情况的检查</w:t>
      </w:r>
    </w:p>
    <w:p w14:paraId="0EDAD5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1FDF91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《民用爆炸物品安全管理条例》（国务院令第466号）第四条</w:t>
      </w:r>
    </w:p>
    <w:p w14:paraId="69AB70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5645CA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1.是否按规定树立了爆破公告牌</w:t>
      </w:r>
      <w:r>
        <w:rPr>
          <w:rFonts w:hint="eastAsia" w:ascii="仿宋_GB2312" w:hAnsi="仿宋_GB2312" w:eastAsia="仿宋_GB2312" w:cs="仿宋_GB2312"/>
          <w:sz w:val="32"/>
          <w:szCs w:val="32"/>
          <w:lang w:val="en-US" w:eastAsia="zh-CN"/>
        </w:rPr>
        <w:t>。</w:t>
      </w:r>
    </w:p>
    <w:p w14:paraId="2B6E8A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2.是否建立健全了爆破作业人员岗位责任制</w:t>
      </w:r>
      <w:r>
        <w:rPr>
          <w:rFonts w:hint="eastAsia" w:ascii="仿宋_GB2312" w:hAnsi="仿宋_GB2312" w:eastAsia="仿宋_GB2312" w:cs="仿宋_GB2312"/>
          <w:sz w:val="32"/>
          <w:szCs w:val="32"/>
          <w:lang w:val="en-US" w:eastAsia="zh-CN"/>
        </w:rPr>
        <w:t>。</w:t>
      </w:r>
    </w:p>
    <w:p w14:paraId="586007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3.单位是否有安全专职管理人员并定期开展民爆物品安全检查，并有检查记录</w:t>
      </w:r>
      <w:r>
        <w:rPr>
          <w:rFonts w:hint="eastAsia" w:ascii="仿宋_GB2312" w:hAnsi="仿宋_GB2312" w:eastAsia="仿宋_GB2312" w:cs="仿宋_GB2312"/>
          <w:sz w:val="32"/>
          <w:szCs w:val="32"/>
          <w:lang w:val="en-US" w:eastAsia="zh-CN"/>
        </w:rPr>
        <w:t>。</w:t>
      </w:r>
    </w:p>
    <w:p w14:paraId="6B2B1B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4.是否定期开展员工民爆物品管理安全教育</w:t>
      </w:r>
      <w:r>
        <w:rPr>
          <w:rFonts w:hint="eastAsia" w:ascii="仿宋_GB2312" w:hAnsi="仿宋_GB2312" w:eastAsia="仿宋_GB2312" w:cs="仿宋_GB2312"/>
          <w:sz w:val="32"/>
          <w:szCs w:val="32"/>
          <w:lang w:val="en-US" w:eastAsia="zh-CN"/>
        </w:rPr>
        <w:t>。</w:t>
      </w:r>
    </w:p>
    <w:p w14:paraId="6152F5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5.装卸现场是否设置警戒，禁止无关人员进入</w:t>
      </w:r>
      <w:r>
        <w:rPr>
          <w:rFonts w:hint="eastAsia" w:ascii="仿宋_GB2312" w:hAnsi="仿宋_GB2312" w:eastAsia="仿宋_GB2312" w:cs="仿宋_GB2312"/>
          <w:sz w:val="32"/>
          <w:szCs w:val="32"/>
          <w:lang w:val="en-US" w:eastAsia="zh-CN"/>
        </w:rPr>
        <w:t>。</w:t>
      </w:r>
    </w:p>
    <w:p w14:paraId="7B4F9E7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6.炸药、雷管是否分开搬运，搬运数量是否超标</w:t>
      </w:r>
      <w:r>
        <w:rPr>
          <w:rFonts w:hint="eastAsia" w:ascii="仿宋_GB2312" w:hAnsi="仿宋_GB2312" w:eastAsia="仿宋_GB2312" w:cs="仿宋_GB2312"/>
          <w:sz w:val="32"/>
          <w:szCs w:val="32"/>
          <w:lang w:val="en-US" w:eastAsia="zh-CN"/>
        </w:rPr>
        <w:t>。</w:t>
      </w:r>
    </w:p>
    <w:p w14:paraId="05E49D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7.爆破工程技术人员（含安全监理）与行政许可决定书是否相同或有更换备案</w:t>
      </w:r>
      <w:r>
        <w:rPr>
          <w:rFonts w:hint="eastAsia" w:ascii="仿宋_GB2312" w:hAnsi="仿宋_GB2312" w:eastAsia="仿宋_GB2312" w:cs="仿宋_GB2312"/>
          <w:sz w:val="32"/>
          <w:szCs w:val="32"/>
          <w:lang w:val="en-US" w:eastAsia="zh-CN"/>
        </w:rPr>
        <w:t>。</w:t>
      </w:r>
    </w:p>
    <w:p w14:paraId="595336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8.爆破员是否不少于3人</w:t>
      </w:r>
      <w:r>
        <w:rPr>
          <w:rFonts w:hint="eastAsia" w:ascii="仿宋_GB2312" w:hAnsi="仿宋_GB2312" w:eastAsia="仿宋_GB2312" w:cs="仿宋_GB2312"/>
          <w:sz w:val="32"/>
          <w:szCs w:val="32"/>
          <w:lang w:val="en-US" w:eastAsia="zh-CN"/>
        </w:rPr>
        <w:t>。</w:t>
      </w:r>
    </w:p>
    <w:p w14:paraId="5079C6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9.安全员是否不少于1人</w:t>
      </w:r>
      <w:r>
        <w:rPr>
          <w:rFonts w:hint="eastAsia" w:ascii="仿宋_GB2312" w:hAnsi="仿宋_GB2312" w:eastAsia="仿宋_GB2312" w:cs="仿宋_GB2312"/>
          <w:sz w:val="32"/>
          <w:szCs w:val="32"/>
          <w:lang w:val="en-US" w:eastAsia="zh-CN"/>
        </w:rPr>
        <w:t>。</w:t>
      </w:r>
    </w:p>
    <w:p w14:paraId="3B775B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十七、民用爆破物仓储情况的检查</w:t>
      </w:r>
    </w:p>
    <w:p w14:paraId="7F1DFC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60FA91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《民用爆炸物品安全管理条例》（国务院令第466号）第四条</w:t>
      </w:r>
    </w:p>
    <w:p w14:paraId="653AA6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08DB33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1.是否统一存放在临时保管箱（柜），雷管箱和炸药箱距离是否达到25米，有2人看守</w:t>
      </w:r>
      <w:r>
        <w:rPr>
          <w:rFonts w:hint="eastAsia" w:ascii="仿宋_GB2312" w:hAnsi="仿宋_GB2312" w:eastAsia="仿宋_GB2312" w:cs="仿宋_GB2312"/>
          <w:sz w:val="32"/>
          <w:szCs w:val="32"/>
          <w:lang w:val="en-US" w:eastAsia="zh-CN"/>
        </w:rPr>
        <w:t>。</w:t>
      </w:r>
    </w:p>
    <w:p w14:paraId="2593D1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2.现场保管退库人员是否实行双人双锁制度</w:t>
      </w:r>
      <w:r>
        <w:rPr>
          <w:rFonts w:hint="eastAsia" w:ascii="仿宋_GB2312" w:hAnsi="仿宋_GB2312" w:eastAsia="仿宋_GB2312" w:cs="仿宋_GB2312"/>
          <w:sz w:val="32"/>
          <w:szCs w:val="32"/>
          <w:lang w:val="en-US" w:eastAsia="zh-CN"/>
        </w:rPr>
        <w:t>。</w:t>
      </w:r>
    </w:p>
    <w:p w14:paraId="0FA091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3.剩余爆破器材是否按规定退库或销毁</w:t>
      </w:r>
      <w:r>
        <w:rPr>
          <w:rFonts w:hint="eastAsia" w:ascii="仿宋_GB2312" w:hAnsi="仿宋_GB2312" w:eastAsia="仿宋_GB2312" w:cs="仿宋_GB2312"/>
          <w:sz w:val="32"/>
          <w:szCs w:val="32"/>
          <w:lang w:val="en-US" w:eastAsia="zh-CN"/>
        </w:rPr>
        <w:t>。</w:t>
      </w:r>
    </w:p>
    <w:p w14:paraId="098BC2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4.爆破器材是否按规定进行领取、清退登记、雷管编码记录完整，账物是否相符</w:t>
      </w:r>
      <w:r>
        <w:rPr>
          <w:rFonts w:hint="eastAsia" w:ascii="仿宋_GB2312" w:hAnsi="仿宋_GB2312" w:eastAsia="仿宋_GB2312" w:cs="仿宋_GB2312"/>
          <w:sz w:val="32"/>
          <w:szCs w:val="32"/>
          <w:lang w:val="en-US" w:eastAsia="zh-CN"/>
        </w:rPr>
        <w:t>。</w:t>
      </w:r>
    </w:p>
    <w:p w14:paraId="21DA3B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5.是否悬挂爆炸明显标志，仓库周边无杂草枯枝等易燃物品</w:t>
      </w:r>
      <w:r>
        <w:rPr>
          <w:rFonts w:hint="eastAsia" w:ascii="仿宋_GB2312" w:hAnsi="仿宋_GB2312" w:eastAsia="仿宋_GB2312" w:cs="仿宋_GB2312"/>
          <w:sz w:val="32"/>
          <w:szCs w:val="32"/>
          <w:lang w:val="en-US" w:eastAsia="zh-CN"/>
        </w:rPr>
        <w:t>。</w:t>
      </w:r>
    </w:p>
    <w:p w14:paraId="659B6C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6.保卫制度、应急救援制度等是否落实，技防设施是否完好，人防犬防是否到位</w:t>
      </w:r>
      <w:r>
        <w:rPr>
          <w:rFonts w:hint="eastAsia" w:ascii="仿宋_GB2312" w:hAnsi="仿宋_GB2312" w:eastAsia="仿宋_GB2312" w:cs="仿宋_GB2312"/>
          <w:sz w:val="32"/>
          <w:szCs w:val="32"/>
          <w:lang w:val="en-US" w:eastAsia="zh-CN"/>
        </w:rPr>
        <w:t>。</w:t>
      </w:r>
    </w:p>
    <w:p w14:paraId="626B65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7.爆炸物品发放、领取、退库登记</w:t>
      </w:r>
      <w:r>
        <w:rPr>
          <w:rFonts w:hint="eastAsia" w:ascii="仿宋_GB2312" w:hAnsi="仿宋_GB2312" w:eastAsia="仿宋_GB2312" w:cs="仿宋_GB2312"/>
          <w:sz w:val="32"/>
          <w:szCs w:val="32"/>
          <w:lang w:val="en-US" w:eastAsia="zh-CN"/>
        </w:rPr>
        <w:t>账目</w:t>
      </w:r>
      <w:r>
        <w:rPr>
          <w:rFonts w:hint="default" w:ascii="仿宋_GB2312" w:hAnsi="仿宋_GB2312" w:eastAsia="仿宋_GB2312" w:cs="仿宋_GB2312"/>
          <w:sz w:val="32"/>
          <w:szCs w:val="32"/>
          <w:lang w:val="en-US" w:eastAsia="zh-CN"/>
        </w:rPr>
        <w:t>是否清楚、帐物是否相符，编码等信息是否全部录入民爆物品管理信息系统</w:t>
      </w:r>
      <w:r>
        <w:rPr>
          <w:rFonts w:hint="eastAsia" w:ascii="仿宋_GB2312" w:hAnsi="仿宋_GB2312" w:eastAsia="仿宋_GB2312" w:cs="仿宋_GB2312"/>
          <w:sz w:val="32"/>
          <w:szCs w:val="32"/>
          <w:lang w:val="en-US" w:eastAsia="zh-CN"/>
        </w:rPr>
        <w:t>。</w:t>
      </w:r>
    </w:p>
    <w:p w14:paraId="50E80F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8.仓库内是否按国家规范和标准存放爆炸物品</w:t>
      </w:r>
      <w:r>
        <w:rPr>
          <w:rFonts w:hint="eastAsia" w:ascii="仿宋_GB2312" w:hAnsi="仿宋_GB2312" w:eastAsia="仿宋_GB2312" w:cs="仿宋_GB2312"/>
          <w:sz w:val="32"/>
          <w:szCs w:val="32"/>
          <w:lang w:val="en-US" w:eastAsia="zh-CN"/>
        </w:rPr>
        <w:t>。</w:t>
      </w:r>
    </w:p>
    <w:p w14:paraId="1DFE0B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十八、民用枪支配置使用单位使用枪支情况</w:t>
      </w:r>
    </w:p>
    <w:p w14:paraId="02D9DB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43A0C2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《中华人民共和国枪支管理法》（2015修正）第28条、《射击竞技体育运动枪支管理办法》（国家体育总局、公安部令（第12号））第24条</w:t>
      </w:r>
    </w:p>
    <w:p w14:paraId="1243F6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3BEEE0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1.应具有配置许可证件或批准文件且有效</w:t>
      </w:r>
      <w:r>
        <w:rPr>
          <w:rFonts w:hint="eastAsia" w:ascii="仿宋_GB2312" w:hAnsi="仿宋_GB2312" w:eastAsia="仿宋_GB2312" w:cs="仿宋_GB2312"/>
          <w:sz w:val="32"/>
          <w:szCs w:val="32"/>
          <w:lang w:val="en-US" w:eastAsia="zh-CN"/>
        </w:rPr>
        <w:t>。</w:t>
      </w:r>
    </w:p>
    <w:p w14:paraId="4A951F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2.枪弹数量账物相符</w:t>
      </w:r>
      <w:r>
        <w:rPr>
          <w:rFonts w:hint="eastAsia" w:ascii="仿宋_GB2312" w:hAnsi="仿宋_GB2312" w:eastAsia="仿宋_GB2312" w:cs="仿宋_GB2312"/>
          <w:sz w:val="32"/>
          <w:szCs w:val="32"/>
          <w:lang w:val="en-US" w:eastAsia="zh-CN"/>
        </w:rPr>
        <w:t>。</w:t>
      </w:r>
    </w:p>
    <w:p w14:paraId="07F610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3.无来源不明、去向不明、超标配置的枪支弹药情形</w:t>
      </w:r>
      <w:r>
        <w:rPr>
          <w:rFonts w:hint="eastAsia" w:ascii="仿宋_GB2312" w:hAnsi="仿宋_GB2312" w:eastAsia="仿宋_GB2312" w:cs="仿宋_GB2312"/>
          <w:sz w:val="32"/>
          <w:szCs w:val="32"/>
          <w:lang w:val="en-US" w:eastAsia="zh-CN"/>
        </w:rPr>
        <w:t>。</w:t>
      </w:r>
    </w:p>
    <w:p w14:paraId="20A3247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4.应当全部依法办理民枪持枪证件，枪、证信息完全一致</w:t>
      </w:r>
      <w:r>
        <w:rPr>
          <w:rFonts w:hint="eastAsia" w:ascii="仿宋_GB2312" w:hAnsi="仿宋_GB2312" w:eastAsia="仿宋_GB2312" w:cs="仿宋_GB2312"/>
          <w:sz w:val="32"/>
          <w:szCs w:val="32"/>
          <w:lang w:val="en-US" w:eastAsia="zh-CN"/>
        </w:rPr>
        <w:t>。</w:t>
      </w:r>
    </w:p>
    <w:p w14:paraId="480784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5.枪支弹药型号、数量、枪号、弹药编号应与台账一致且全部上传省枪械管理信息系统</w:t>
      </w:r>
      <w:r>
        <w:rPr>
          <w:rFonts w:hint="eastAsia" w:ascii="仿宋_GB2312" w:hAnsi="仿宋_GB2312" w:eastAsia="仿宋_GB2312" w:cs="仿宋_GB2312"/>
          <w:sz w:val="32"/>
          <w:szCs w:val="32"/>
          <w:lang w:val="en-US" w:eastAsia="zh-CN"/>
        </w:rPr>
        <w:t>。</w:t>
      </w:r>
    </w:p>
    <w:p w14:paraId="5272A4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6.报废枪支弹药应按规定上缴属地分局，不能私自改装和销毁枪支</w:t>
      </w:r>
      <w:r>
        <w:rPr>
          <w:rFonts w:hint="eastAsia" w:ascii="仿宋_GB2312" w:hAnsi="仿宋_GB2312" w:eastAsia="仿宋_GB2312" w:cs="仿宋_GB2312"/>
          <w:sz w:val="32"/>
          <w:szCs w:val="32"/>
          <w:lang w:val="en-US" w:eastAsia="zh-CN"/>
        </w:rPr>
        <w:t>。</w:t>
      </w:r>
    </w:p>
    <w:p w14:paraId="2E2834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7.枪弹库室应符合《枪支（弹药）库室风险等级划分与安全防范要求》（GA1016-2012），应经国家主管部门认证资质的社会专业安防检测机构检测并出具检测报告</w:t>
      </w:r>
      <w:r>
        <w:rPr>
          <w:rFonts w:hint="eastAsia" w:ascii="仿宋_GB2312" w:hAnsi="仿宋_GB2312" w:eastAsia="仿宋_GB2312" w:cs="仿宋_GB2312"/>
          <w:sz w:val="32"/>
          <w:szCs w:val="32"/>
          <w:lang w:val="en-US" w:eastAsia="zh-CN"/>
        </w:rPr>
        <w:t>。</w:t>
      </w:r>
    </w:p>
    <w:p w14:paraId="0765CA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8.风险等级划分和人防、物防、技防设施应符合GA1016-2012标准要求</w:t>
      </w:r>
      <w:r>
        <w:rPr>
          <w:rFonts w:hint="eastAsia" w:ascii="仿宋_GB2312" w:hAnsi="仿宋_GB2312" w:eastAsia="仿宋_GB2312" w:cs="仿宋_GB2312"/>
          <w:sz w:val="32"/>
          <w:szCs w:val="32"/>
          <w:lang w:val="en-US" w:eastAsia="zh-CN"/>
        </w:rPr>
        <w:t>。</w:t>
      </w:r>
    </w:p>
    <w:p w14:paraId="3B24B4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9.枪支（弹药）专用柜或保险柜应符合国家相关标准要求</w:t>
      </w:r>
      <w:r>
        <w:rPr>
          <w:rFonts w:hint="eastAsia" w:ascii="仿宋_GB2312" w:hAnsi="仿宋_GB2312" w:eastAsia="仿宋_GB2312" w:cs="仿宋_GB2312"/>
          <w:sz w:val="32"/>
          <w:szCs w:val="32"/>
          <w:lang w:val="en-US" w:eastAsia="zh-CN"/>
        </w:rPr>
        <w:t>。</w:t>
      </w:r>
    </w:p>
    <w:p w14:paraId="393267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10.入侵报警器、视频监控应完备可用且正常运行，入侵报警系统、视频监控系统应与公安机关联网</w:t>
      </w:r>
      <w:r>
        <w:rPr>
          <w:rFonts w:hint="eastAsia" w:ascii="仿宋_GB2312" w:hAnsi="仿宋_GB2312" w:eastAsia="仿宋_GB2312" w:cs="仿宋_GB2312"/>
          <w:sz w:val="32"/>
          <w:szCs w:val="32"/>
          <w:lang w:val="en-US" w:eastAsia="zh-CN"/>
        </w:rPr>
        <w:t>。</w:t>
      </w:r>
    </w:p>
    <w:p w14:paraId="3641E6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11.应建立以法定代表人为第一责任人的安全管理责任体系</w:t>
      </w:r>
      <w:r>
        <w:rPr>
          <w:rFonts w:hint="eastAsia" w:ascii="仿宋_GB2312" w:hAnsi="仿宋_GB2312" w:eastAsia="仿宋_GB2312" w:cs="仿宋_GB2312"/>
          <w:sz w:val="32"/>
          <w:szCs w:val="32"/>
          <w:lang w:val="en-US" w:eastAsia="zh-CN"/>
        </w:rPr>
        <w:t>。</w:t>
      </w:r>
    </w:p>
    <w:p w14:paraId="321604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12.应建立枪支弹药安全管理制度并按规定上墙</w:t>
      </w:r>
      <w:r>
        <w:rPr>
          <w:rFonts w:hint="eastAsia" w:ascii="仿宋_GB2312" w:hAnsi="仿宋_GB2312" w:eastAsia="仿宋_GB2312" w:cs="仿宋_GB2312"/>
          <w:sz w:val="32"/>
          <w:szCs w:val="32"/>
          <w:lang w:val="en-US" w:eastAsia="zh-CN"/>
        </w:rPr>
        <w:t>。</w:t>
      </w:r>
    </w:p>
    <w:p w14:paraId="49D461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13.枪弹库室柜应双人双锁、枪弹分开存放、24小时专人值守</w:t>
      </w:r>
      <w:r>
        <w:rPr>
          <w:rFonts w:hint="eastAsia" w:ascii="仿宋_GB2312" w:hAnsi="仿宋_GB2312" w:eastAsia="仿宋_GB2312" w:cs="仿宋_GB2312"/>
          <w:sz w:val="32"/>
          <w:szCs w:val="32"/>
          <w:lang w:val="en-US" w:eastAsia="zh-CN"/>
        </w:rPr>
        <w:t>。</w:t>
      </w:r>
    </w:p>
    <w:p w14:paraId="66D870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14.枪支弹药领用、审批、消耗、清退、归还、保管等各个环节应如实登记</w:t>
      </w:r>
      <w:r>
        <w:rPr>
          <w:rFonts w:hint="eastAsia" w:ascii="仿宋_GB2312" w:hAnsi="仿宋_GB2312" w:eastAsia="仿宋_GB2312" w:cs="仿宋_GB2312"/>
          <w:sz w:val="32"/>
          <w:szCs w:val="32"/>
          <w:lang w:val="en-US" w:eastAsia="zh-CN"/>
        </w:rPr>
        <w:t>。</w:t>
      </w:r>
    </w:p>
    <w:p w14:paraId="74EA85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15.枪支被盗、被抢或者丢失应及时向公安机关报告</w:t>
      </w:r>
      <w:r>
        <w:rPr>
          <w:rFonts w:hint="eastAsia" w:ascii="仿宋_GB2312" w:hAnsi="仿宋_GB2312" w:eastAsia="仿宋_GB2312" w:cs="仿宋_GB2312"/>
          <w:sz w:val="32"/>
          <w:szCs w:val="32"/>
          <w:lang w:val="en-US" w:eastAsia="zh-CN"/>
        </w:rPr>
        <w:t>。</w:t>
      </w:r>
    </w:p>
    <w:p w14:paraId="31A92A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16.无出租、出借、超出限定区域携带及违法违规使用枪支弹药等情形</w:t>
      </w:r>
      <w:r>
        <w:rPr>
          <w:rFonts w:hint="eastAsia" w:ascii="仿宋_GB2312" w:hAnsi="仿宋_GB2312" w:eastAsia="仿宋_GB2312" w:cs="仿宋_GB2312"/>
          <w:sz w:val="32"/>
          <w:szCs w:val="32"/>
          <w:lang w:val="en-US" w:eastAsia="zh-CN"/>
        </w:rPr>
        <w:t>。</w:t>
      </w:r>
    </w:p>
    <w:p w14:paraId="7CCA12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17.射击竞技体育运动单位的运动员携枪外出训练、比赛应办理携运许可证并携带持枪证件</w:t>
      </w:r>
      <w:r>
        <w:rPr>
          <w:rFonts w:hint="eastAsia" w:ascii="仿宋_GB2312" w:hAnsi="仿宋_GB2312" w:eastAsia="仿宋_GB2312" w:cs="仿宋_GB2312"/>
          <w:sz w:val="32"/>
          <w:szCs w:val="32"/>
          <w:lang w:val="en-US" w:eastAsia="zh-CN"/>
        </w:rPr>
        <w:t>。</w:t>
      </w:r>
    </w:p>
    <w:p w14:paraId="25C2BF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18.从业人员应经过背景审查，政治可靠、身体健康、无违法犯罪记录</w:t>
      </w:r>
      <w:r>
        <w:rPr>
          <w:rFonts w:hint="eastAsia" w:ascii="仿宋_GB2312" w:hAnsi="仿宋_GB2312" w:eastAsia="仿宋_GB2312" w:cs="仿宋_GB2312"/>
          <w:sz w:val="32"/>
          <w:szCs w:val="32"/>
          <w:lang w:val="en-US" w:eastAsia="zh-CN"/>
        </w:rPr>
        <w:t>。</w:t>
      </w:r>
    </w:p>
    <w:p w14:paraId="2F7C7E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19.持枪人员应开展了用枪理论、法制及能力训练，并经属地分局考核通过</w:t>
      </w:r>
      <w:r>
        <w:rPr>
          <w:rFonts w:hint="eastAsia" w:ascii="仿宋_GB2312" w:hAnsi="仿宋_GB2312" w:eastAsia="仿宋_GB2312" w:cs="仿宋_GB2312"/>
          <w:sz w:val="32"/>
          <w:szCs w:val="32"/>
          <w:lang w:val="en-US" w:eastAsia="zh-CN"/>
        </w:rPr>
        <w:t>。</w:t>
      </w:r>
    </w:p>
    <w:p w14:paraId="6A7AE8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20.应定期对涉枪从业人员开展安全教育</w:t>
      </w:r>
      <w:r>
        <w:rPr>
          <w:rFonts w:hint="eastAsia" w:ascii="仿宋_GB2312" w:hAnsi="仿宋_GB2312" w:eastAsia="仿宋_GB2312" w:cs="仿宋_GB2312"/>
          <w:sz w:val="32"/>
          <w:szCs w:val="32"/>
          <w:lang w:val="en-US" w:eastAsia="zh-CN"/>
        </w:rPr>
        <w:t>。</w:t>
      </w:r>
    </w:p>
    <w:p w14:paraId="7FA56F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21.应逐人签订安全使用责任书</w:t>
      </w:r>
      <w:r>
        <w:rPr>
          <w:rFonts w:hint="eastAsia" w:ascii="仿宋_GB2312" w:hAnsi="仿宋_GB2312" w:eastAsia="仿宋_GB2312" w:cs="仿宋_GB2312"/>
          <w:sz w:val="32"/>
          <w:szCs w:val="32"/>
          <w:lang w:val="en-US" w:eastAsia="zh-CN"/>
        </w:rPr>
        <w:t>。</w:t>
      </w:r>
    </w:p>
    <w:p w14:paraId="240CBB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22.应建立涉枪从业人员信息台账，定期更新人员信息并全部上传省厅枪械管理信息系统。</w:t>
      </w:r>
    </w:p>
    <w:p w14:paraId="1D1AC6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23.应对涉枪从业人员定期开展日常摸排审查、谈心谈话及现实表现的综合评估</w:t>
      </w:r>
      <w:r>
        <w:rPr>
          <w:rFonts w:hint="eastAsia" w:ascii="仿宋_GB2312" w:hAnsi="仿宋_GB2312" w:eastAsia="仿宋_GB2312" w:cs="仿宋_GB2312"/>
          <w:sz w:val="32"/>
          <w:szCs w:val="32"/>
          <w:lang w:val="en-US" w:eastAsia="zh-CN"/>
        </w:rPr>
        <w:t>。</w:t>
      </w:r>
    </w:p>
    <w:p w14:paraId="2E8CC7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24.应对债务纠纷缠身、经常酗酒滋事、赌博、吸毒、患有精神类疾病等不适合从业情形的调离涉枪工作岗位</w:t>
      </w:r>
      <w:r>
        <w:rPr>
          <w:rFonts w:hint="eastAsia" w:ascii="仿宋_GB2312" w:hAnsi="仿宋_GB2312" w:eastAsia="仿宋_GB2312" w:cs="仿宋_GB2312"/>
          <w:sz w:val="32"/>
          <w:szCs w:val="32"/>
          <w:lang w:val="en-US" w:eastAsia="zh-CN"/>
        </w:rPr>
        <w:t>。</w:t>
      </w:r>
    </w:p>
    <w:p w14:paraId="31F4BD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十九、对互联网上网服务营业场所的治安检查</w:t>
      </w:r>
    </w:p>
    <w:p w14:paraId="32CF41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5AD651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《互联网上网服务营业场所管理条例》（</w:t>
      </w:r>
      <w:r>
        <w:rPr>
          <w:rFonts w:hint="eastAsia" w:ascii="仿宋_GB2312" w:hAnsi="仿宋_GB2312" w:eastAsia="仿宋_GB2312" w:cs="仿宋_GB2312"/>
          <w:sz w:val="32"/>
          <w:szCs w:val="32"/>
          <w:lang w:val="en-US" w:eastAsia="zh-CN"/>
        </w:rPr>
        <w:t>国务院令第</w:t>
      </w:r>
      <w:r>
        <w:rPr>
          <w:rFonts w:hint="default" w:ascii="仿宋_GB2312" w:hAnsi="仿宋_GB2312" w:eastAsia="仿宋_GB2312" w:cs="仿宋_GB2312"/>
          <w:sz w:val="32"/>
          <w:szCs w:val="32"/>
          <w:lang w:val="en-US" w:eastAsia="zh-CN"/>
        </w:rPr>
        <w:t>710号）第四条</w:t>
      </w:r>
    </w:p>
    <w:p w14:paraId="7A7FB2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7B83FA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1.相关证照是否齐全。（文化许可证、消防合格证明、营业执照，备案证）</w:t>
      </w:r>
    </w:p>
    <w:p w14:paraId="391CA0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2.是否在出入口、通道等显要位置必须张贴禁烟标识，不得提供烟灰缸等吸烟器皿。</w:t>
      </w:r>
    </w:p>
    <w:p w14:paraId="699AA0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3.是否存在其他违法违规问题。</w:t>
      </w:r>
    </w:p>
    <w:p w14:paraId="367F0E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4.是否存在消防隐患。</w:t>
      </w:r>
    </w:p>
    <w:p w14:paraId="03B98F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5.否安装网络安全审计系统，配备计算机安全员，且审计日志达60天。</w:t>
      </w:r>
    </w:p>
    <w:p w14:paraId="690F02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6.是否如实录入、上传上网人员身份信息。</w:t>
      </w:r>
    </w:p>
    <w:p w14:paraId="58EF09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7.是否禁止未成年人进入，在入口处等显著位置悬挂未成年人禁入标识。</w:t>
      </w:r>
    </w:p>
    <w:p w14:paraId="1E3978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8.是否高清监控设备全覆盖（至少保持30天，分辨率不低于1080P，即200万像素）</w:t>
      </w:r>
      <w:r>
        <w:rPr>
          <w:rFonts w:hint="eastAsia" w:ascii="仿宋_GB2312" w:hAnsi="仿宋_GB2312" w:eastAsia="仿宋_GB2312" w:cs="仿宋_GB2312"/>
          <w:sz w:val="32"/>
          <w:szCs w:val="32"/>
          <w:lang w:val="en-US" w:eastAsia="zh-CN"/>
        </w:rPr>
        <w:t>。</w:t>
      </w:r>
    </w:p>
    <w:p w14:paraId="1ACEEE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二十、对第一类易制毒化学品企业的监督检查</w:t>
      </w:r>
    </w:p>
    <w:p w14:paraId="60E7FF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371C94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《易制毒化学品管理条例》《易制毒化学品购销和运输管理办法》</w:t>
      </w:r>
    </w:p>
    <w:p w14:paraId="7BDACF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612289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购买第一类易制毒化学品（非药品类）、运输第一类易制毒化学品台账清晰，符合易制毒化学品相关法条规定</w:t>
      </w:r>
      <w:r>
        <w:rPr>
          <w:rFonts w:hint="eastAsia" w:ascii="仿宋_GB2312" w:hAnsi="仿宋_GB2312" w:eastAsia="仿宋_GB2312" w:cs="仿宋_GB2312"/>
          <w:sz w:val="32"/>
          <w:szCs w:val="32"/>
          <w:lang w:val="en-US" w:eastAsia="zh-CN"/>
        </w:rPr>
        <w:t>。</w:t>
      </w:r>
    </w:p>
    <w:p w14:paraId="6309BF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1.营业执照是否在有效期内。</w:t>
      </w:r>
    </w:p>
    <w:p w14:paraId="62D611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2.组织机构代码证是否在有效期内。</w:t>
      </w:r>
    </w:p>
    <w:p w14:paraId="65BAD3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3.生产（经营）许可证是否在有效期内。</w:t>
      </w:r>
    </w:p>
    <w:p w14:paraId="0EDE75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4.是否有仓储。</w:t>
      </w:r>
    </w:p>
    <w:p w14:paraId="07303F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5.法定代表人身份与资质证件信息是否一致。</w:t>
      </w:r>
    </w:p>
    <w:p w14:paraId="73D0B6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6.是否有未经许可或备案擅自经营、购买、运输易制毒化学品。</w:t>
      </w:r>
    </w:p>
    <w:p w14:paraId="68B2FD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7.是否存在骗取许可证或备案证明，使用他人或者伪造、变造、失效的许可证或者备案证明经营、购买、运输易制毒化学品。</w:t>
      </w:r>
    </w:p>
    <w:p w14:paraId="4C43F2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8.是否将易制毒化学品购买或运输许可证或者备案证明转借他人使用。</w:t>
      </w:r>
    </w:p>
    <w:p w14:paraId="088C4E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9.是否超出许可或者备案的品种、数量销售、购买、运输易制毒化学品。</w:t>
      </w:r>
    </w:p>
    <w:p w14:paraId="69A934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10.是否有向无购买证或备案证明的单位或者个人销售易制毒化学品。</w:t>
      </w:r>
    </w:p>
    <w:p w14:paraId="02FE90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11.是否不如实或者不按时向公安机关备案易制毒化学品的销售、购买情况。</w:t>
      </w:r>
    </w:p>
    <w:p w14:paraId="5F7BEA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12.台账中的资金往来（要求交易的银行票据复留档）是否有现金交易。</w:t>
      </w:r>
    </w:p>
    <w:p w14:paraId="2E02A5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13.是否存在易制毒化学品丢失、被盗、被抢后未及时报告，造成严重后果。</w:t>
      </w:r>
    </w:p>
    <w:p w14:paraId="52358B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14.运输的易制毒化学品与运输许可证或者备案证明载明的品种、数量、运入地、货主等情况是否相符。</w:t>
      </w:r>
    </w:p>
    <w:p w14:paraId="66F266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15.是否不如实或者不按时向公安机关进行年度备案。</w:t>
      </w:r>
    </w:p>
    <w:p w14:paraId="118C92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16.是否拒不接受公安机关监督检查。</w:t>
      </w:r>
    </w:p>
    <w:p w14:paraId="4B4D4A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17.是否落实易制毒化学品人防、技防、物防等安全防范措施。</w:t>
      </w:r>
    </w:p>
    <w:p w14:paraId="5CBEA4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18.是否落实双人双锁制度。</w:t>
      </w:r>
    </w:p>
    <w:p w14:paraId="2BE8BD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19.仓储物品品种、数量与台账是否一致。</w:t>
      </w:r>
    </w:p>
    <w:p w14:paraId="17AFAE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20.是否建立经营、购买台账，如实记录易制毒化学品的品种、数量、日期等交易情况。</w:t>
      </w:r>
    </w:p>
    <w:p w14:paraId="59190C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21.台账中反映的时间、品种、数量是否在许可、备案证明的有效范围内。</w:t>
      </w:r>
    </w:p>
    <w:p w14:paraId="131F38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22.是否有购销合同、付款凭证或发票</w:t>
      </w:r>
    </w:p>
    <w:p w14:paraId="40A267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23.销售、购买台账和证明材料复印件是否保存2年</w:t>
      </w:r>
    </w:p>
    <w:p w14:paraId="788428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24.是否按规定建立及完善出入库登记记录。</w:t>
      </w:r>
    </w:p>
    <w:p w14:paraId="365C6C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25.是否有管理岗位职责分工。</w:t>
      </w:r>
    </w:p>
    <w:p w14:paraId="1678FA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26.是否专管人员和经办人员接受培训。</w:t>
      </w:r>
    </w:p>
    <w:p w14:paraId="772717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二十一、对第二类、第三类易制毒化学品企业的监督检查</w:t>
      </w:r>
    </w:p>
    <w:p w14:paraId="0E8AE3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194C14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《易制毒化学品管理条例》《易制毒化学品购销和运输管理办法》</w:t>
      </w:r>
    </w:p>
    <w:p w14:paraId="47F96A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0C6AF1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购买、运输第二类、第三类易制毒化学品台账清晰，符合易制毒化学品相关法条规定</w:t>
      </w:r>
    </w:p>
    <w:p w14:paraId="71363F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1.营业执照是否在有效期内。</w:t>
      </w:r>
    </w:p>
    <w:p w14:paraId="2AF48E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2.组织机构代码证是否在有效期内。</w:t>
      </w:r>
    </w:p>
    <w:p w14:paraId="528EC2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3.生产（经营）许可证是否在有效期内。</w:t>
      </w:r>
    </w:p>
    <w:p w14:paraId="0465D7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4.是否有仓储。</w:t>
      </w:r>
    </w:p>
    <w:p w14:paraId="2BFF18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5.法定代表人身份与资质证件信息是否一致。</w:t>
      </w:r>
    </w:p>
    <w:p w14:paraId="770A4A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6.是否有未经许可或备案擅自经营、购买、运输易制毒化学品。</w:t>
      </w:r>
    </w:p>
    <w:p w14:paraId="52F03F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7.是否存在骗取许可证或备案证明，使用他人或者伪造、变造、失效的许可证或者备案证明经营、购买、运输易制毒化学品。</w:t>
      </w:r>
    </w:p>
    <w:p w14:paraId="03B824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8.是否将易制毒化学品购买或运输许可证或者备案证明转借他人使用。</w:t>
      </w:r>
    </w:p>
    <w:p w14:paraId="68B169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9.是否超出许可或者备案的品种、数量销售、购买、运输易制毒化学品。</w:t>
      </w:r>
    </w:p>
    <w:p w14:paraId="6ECEAF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10.是否有向无购买证或备案证明的单位或者个人销售易制毒化学品。</w:t>
      </w:r>
    </w:p>
    <w:p w14:paraId="5B1E158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11.是否不如实或者不按时向公安机关备案易制毒化学品的销售、购买情况。</w:t>
      </w:r>
    </w:p>
    <w:p w14:paraId="76FF709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12.台账中的资金往来（要求交易的银行票据复留档）是否有现金交易。</w:t>
      </w:r>
    </w:p>
    <w:p w14:paraId="1D0301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13.是否存在易制毒化学品丢失、被盗、被抢后未及时报告，造成严重后果。</w:t>
      </w:r>
    </w:p>
    <w:p w14:paraId="52C043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14.运输的易制毒化学品与运输许可证或者备案证明载明的品种、数量、运入地、货主等情况是否相符。</w:t>
      </w:r>
    </w:p>
    <w:p w14:paraId="2C2D6B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15.是否不如实或者不按时向公安机关进行年度备案。</w:t>
      </w:r>
    </w:p>
    <w:p w14:paraId="3FC1B3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16.是否拒不接受公安机关监督检查。</w:t>
      </w:r>
    </w:p>
    <w:p w14:paraId="636834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17.是否落实易制毒化学品人防、技防、物防等安全防范措施。</w:t>
      </w:r>
    </w:p>
    <w:p w14:paraId="76932F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18.是否落实双人双锁制度。</w:t>
      </w:r>
    </w:p>
    <w:p w14:paraId="785A65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19.仓储物品品种、数量与台账是否一致。</w:t>
      </w:r>
    </w:p>
    <w:p w14:paraId="6473A2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20.是否建立经营、购买台账，如实记录易制毒化学品的品种、数量、日期等交易情况。</w:t>
      </w:r>
    </w:p>
    <w:p w14:paraId="36E547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21.台账中反映的时间、品种、数量是否在许可、备案证明的有效范围内。</w:t>
      </w:r>
    </w:p>
    <w:p w14:paraId="119C4F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22.是否有购销合同、付款凭证或发票</w:t>
      </w:r>
    </w:p>
    <w:p w14:paraId="363873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23.销售、购买台账和证明材料复印件是否保存2年</w:t>
      </w:r>
    </w:p>
    <w:p w14:paraId="3548CB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24.是否按规定建立及完善出入库登记记录。</w:t>
      </w:r>
    </w:p>
    <w:p w14:paraId="2D3B20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25.是否有管理岗位职责分工。</w:t>
      </w:r>
    </w:p>
    <w:p w14:paraId="595488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26.是否专管人员和经办人员接受培训。</w:t>
      </w:r>
    </w:p>
    <w:p w14:paraId="27D30C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二十二、对互联单位、接入单位及有关用户网络安全保护管理以及技术措施落实情况的检查</w:t>
      </w:r>
    </w:p>
    <w:p w14:paraId="27B7D9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3C1972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《中华人民共和国网络安全法》第二十一条、二十五条、二十八条、四十七条、四十九条；《互联网安全保护技术措施规定》第七、八、十条</w:t>
      </w:r>
    </w:p>
    <w:p w14:paraId="32BCA0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6F6ECA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是否办理联网单位备案手续，并报送接入单位和用户基本信息及其变更情况</w:t>
      </w:r>
      <w:r>
        <w:rPr>
          <w:rFonts w:hint="eastAsia" w:ascii="仿宋_GB2312" w:hAnsi="仿宋_GB2312" w:eastAsia="仿宋_GB2312" w:cs="仿宋_GB2312"/>
          <w:sz w:val="32"/>
          <w:szCs w:val="32"/>
          <w:lang w:val="en-US" w:eastAsia="zh-CN"/>
        </w:rPr>
        <w:t>。</w:t>
      </w:r>
    </w:p>
    <w:p w14:paraId="14BE8F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是否依法采取记录并留存用户注册信息和上网日志信息的技术措施，并留存相关网络日志不少于六个月</w:t>
      </w:r>
      <w:r>
        <w:rPr>
          <w:rFonts w:hint="eastAsia" w:ascii="仿宋_GB2312" w:hAnsi="仿宋_GB2312" w:eastAsia="仿宋_GB2312" w:cs="仿宋_GB2312"/>
          <w:sz w:val="32"/>
          <w:szCs w:val="32"/>
          <w:lang w:val="en-US" w:eastAsia="zh-CN"/>
        </w:rPr>
        <w:t>。</w:t>
      </w:r>
    </w:p>
    <w:p w14:paraId="01C3B6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对提供互联网数据中心服务的，监督检查是否记录所提供的主机托管、主机租用和虚拟空间租用的用户信息</w:t>
      </w:r>
      <w:r>
        <w:rPr>
          <w:rFonts w:hint="eastAsia" w:ascii="仿宋_GB2312" w:hAnsi="仿宋_GB2312" w:eastAsia="仿宋_GB2312" w:cs="仿宋_GB2312"/>
          <w:sz w:val="32"/>
          <w:szCs w:val="32"/>
          <w:lang w:val="en-US" w:eastAsia="zh-CN"/>
        </w:rPr>
        <w:t>。</w:t>
      </w:r>
    </w:p>
    <w:p w14:paraId="2ADC95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是否制定重大网络安全保卫任务所要求的工作方案、明确网络安全责任分工并确定网络安全管理人员</w:t>
      </w:r>
      <w:r>
        <w:rPr>
          <w:rFonts w:hint="eastAsia" w:ascii="仿宋_GB2312" w:hAnsi="仿宋_GB2312" w:eastAsia="仿宋_GB2312" w:cs="仿宋_GB2312"/>
          <w:sz w:val="32"/>
          <w:szCs w:val="32"/>
          <w:lang w:val="en-US" w:eastAsia="zh-CN"/>
        </w:rPr>
        <w:t>。</w:t>
      </w:r>
    </w:p>
    <w:p w14:paraId="24A832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是否依法采取重大网络安全保卫任务所需要的其他网络安全防范措施</w:t>
      </w:r>
      <w:r>
        <w:rPr>
          <w:rFonts w:hint="eastAsia" w:ascii="仿宋_GB2312" w:hAnsi="仿宋_GB2312" w:eastAsia="仿宋_GB2312" w:cs="仿宋_GB2312"/>
          <w:sz w:val="32"/>
          <w:szCs w:val="32"/>
          <w:lang w:val="en-US" w:eastAsia="zh-CN"/>
        </w:rPr>
        <w:t>。</w:t>
      </w:r>
    </w:p>
    <w:p w14:paraId="577A85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对提供互联网信息服务的，检查是否依法采取用户发布信息管理措施，是否对已发布或传输的法律、行政法规禁止发布或传输的信息依法采取处置措施并保存相关记录</w:t>
      </w:r>
      <w:r>
        <w:rPr>
          <w:rFonts w:hint="eastAsia" w:ascii="仿宋_GB2312" w:hAnsi="仿宋_GB2312" w:eastAsia="仿宋_GB2312" w:cs="仿宋_GB2312"/>
          <w:sz w:val="32"/>
          <w:szCs w:val="32"/>
          <w:lang w:val="en-US" w:eastAsia="zh-CN"/>
        </w:rPr>
        <w:t>。</w:t>
      </w:r>
    </w:p>
    <w:p w14:paraId="613383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是否履行法律、行政法规规定的网络安全等级保护等义务</w:t>
      </w:r>
      <w:r>
        <w:rPr>
          <w:rFonts w:hint="eastAsia" w:ascii="仿宋_GB2312" w:hAnsi="仿宋_GB2312" w:eastAsia="仿宋_GB2312" w:cs="仿宋_GB2312"/>
          <w:sz w:val="32"/>
          <w:szCs w:val="32"/>
          <w:lang w:val="en-US" w:eastAsia="zh-CN"/>
        </w:rPr>
        <w:t>。</w:t>
      </w:r>
    </w:p>
    <w:p w14:paraId="2E03C5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是否制定网络安全应急处置预案并组织开展应急演练，应急处置相关设施是否完备有效</w:t>
      </w:r>
      <w:r>
        <w:rPr>
          <w:rFonts w:hint="eastAsia" w:ascii="仿宋_GB2312" w:hAnsi="仿宋_GB2312" w:eastAsia="仿宋_GB2312" w:cs="仿宋_GB2312"/>
          <w:sz w:val="32"/>
          <w:szCs w:val="32"/>
          <w:lang w:val="en-US" w:eastAsia="zh-CN"/>
        </w:rPr>
        <w:t>。</w:t>
      </w:r>
    </w:p>
    <w:p w14:paraId="7B0E6A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en-US" w:eastAsia="zh-CN"/>
        </w:rPr>
        <w:t>是否组织开展网络安全风险评估，并采取相应风险管控措施堵塞网络安全漏洞隐患</w:t>
      </w:r>
      <w:r>
        <w:rPr>
          <w:rFonts w:hint="eastAsia" w:ascii="仿宋_GB2312" w:hAnsi="仿宋_GB2312" w:eastAsia="仿宋_GB2312" w:cs="仿宋_GB2312"/>
          <w:sz w:val="32"/>
          <w:szCs w:val="32"/>
          <w:lang w:val="en-US" w:eastAsia="zh-CN"/>
        </w:rPr>
        <w:t>。</w:t>
      </w:r>
    </w:p>
    <w:p w14:paraId="3AC2BD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en-US" w:eastAsia="zh-CN"/>
        </w:rPr>
        <w:t>对提供互联网域名服务的，监督检查是否记录网络域名申请、变动信息，是否对违法域名依法采取处置措施</w:t>
      </w:r>
      <w:r>
        <w:rPr>
          <w:rFonts w:hint="eastAsia" w:ascii="仿宋_GB2312" w:hAnsi="仿宋_GB2312" w:eastAsia="仿宋_GB2312" w:cs="仿宋_GB2312"/>
          <w:sz w:val="32"/>
          <w:szCs w:val="32"/>
          <w:lang w:val="en-US" w:eastAsia="zh-CN"/>
        </w:rPr>
        <w:t>。</w:t>
      </w:r>
    </w:p>
    <w:p w14:paraId="6CA458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w:t>
      </w:r>
      <w:r>
        <w:rPr>
          <w:rFonts w:hint="default" w:ascii="仿宋_GB2312" w:hAnsi="仿宋_GB2312" w:eastAsia="仿宋_GB2312" w:cs="仿宋_GB2312"/>
          <w:sz w:val="32"/>
          <w:szCs w:val="32"/>
          <w:lang w:val="en-US" w:eastAsia="zh-CN"/>
        </w:rPr>
        <w:t>是否制定并落实网络安全管理制度和操作规程，确定网络安全负责人</w:t>
      </w:r>
      <w:r>
        <w:rPr>
          <w:rFonts w:hint="eastAsia" w:ascii="仿宋_GB2312" w:hAnsi="仿宋_GB2312" w:eastAsia="仿宋_GB2312" w:cs="仿宋_GB2312"/>
          <w:sz w:val="32"/>
          <w:szCs w:val="32"/>
          <w:lang w:val="en-US" w:eastAsia="zh-CN"/>
        </w:rPr>
        <w:t>。</w:t>
      </w:r>
    </w:p>
    <w:p w14:paraId="7F481F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w:t>
      </w:r>
      <w:r>
        <w:rPr>
          <w:rFonts w:hint="default" w:ascii="仿宋_GB2312" w:hAnsi="仿宋_GB2312" w:eastAsia="仿宋_GB2312" w:cs="仿宋_GB2312"/>
          <w:sz w:val="32"/>
          <w:szCs w:val="32"/>
          <w:lang w:val="en-US" w:eastAsia="zh-CN"/>
        </w:rPr>
        <w:t>是否按照要求向公安机关报告网络安全防范措施及落实情况</w:t>
      </w:r>
      <w:r>
        <w:rPr>
          <w:rFonts w:hint="eastAsia" w:ascii="仿宋_GB2312" w:hAnsi="仿宋_GB2312" w:eastAsia="仿宋_GB2312" w:cs="仿宋_GB2312"/>
          <w:sz w:val="32"/>
          <w:szCs w:val="32"/>
          <w:lang w:val="en-US" w:eastAsia="zh-CN"/>
        </w:rPr>
        <w:t>。</w:t>
      </w:r>
    </w:p>
    <w:p w14:paraId="6FA2AB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w:t>
      </w:r>
      <w:r>
        <w:rPr>
          <w:rFonts w:hint="default" w:ascii="仿宋_GB2312" w:hAnsi="仿宋_GB2312" w:eastAsia="仿宋_GB2312" w:cs="仿宋_GB2312"/>
          <w:sz w:val="32"/>
          <w:szCs w:val="32"/>
          <w:lang w:val="en-US" w:eastAsia="zh-CN"/>
        </w:rPr>
        <w:t>对提供互联网公共上网服务的，监督检查是否采取符合国家标准的网络与信息安全保护技术措施</w:t>
      </w:r>
      <w:r>
        <w:rPr>
          <w:rFonts w:hint="eastAsia" w:ascii="仿宋_GB2312" w:hAnsi="仿宋_GB2312" w:eastAsia="仿宋_GB2312" w:cs="仿宋_GB2312"/>
          <w:sz w:val="32"/>
          <w:szCs w:val="32"/>
          <w:lang w:val="en-US" w:eastAsia="zh-CN"/>
        </w:rPr>
        <w:t>。</w:t>
      </w:r>
    </w:p>
    <w:p w14:paraId="32D5ED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w:t>
      </w:r>
      <w:r>
        <w:rPr>
          <w:rFonts w:hint="default" w:ascii="仿宋_GB2312" w:hAnsi="仿宋_GB2312" w:eastAsia="仿宋_GB2312" w:cs="仿宋_GB2312"/>
          <w:sz w:val="32"/>
          <w:szCs w:val="32"/>
          <w:lang w:val="en-US" w:eastAsia="zh-CN"/>
        </w:rPr>
        <w:t>对防范恐怖袭击的重点目标的互联网安全监督检查，是否按照以上规定的内容执行</w:t>
      </w:r>
      <w:r>
        <w:rPr>
          <w:rFonts w:hint="eastAsia" w:ascii="仿宋_GB2312" w:hAnsi="仿宋_GB2312" w:eastAsia="仿宋_GB2312" w:cs="仿宋_GB2312"/>
          <w:sz w:val="32"/>
          <w:szCs w:val="32"/>
          <w:lang w:val="en-US" w:eastAsia="zh-CN"/>
        </w:rPr>
        <w:t>。</w:t>
      </w:r>
    </w:p>
    <w:p w14:paraId="73A657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w:t>
      </w:r>
      <w:r>
        <w:rPr>
          <w:rFonts w:hint="default" w:ascii="仿宋_GB2312" w:hAnsi="仿宋_GB2312" w:eastAsia="仿宋_GB2312" w:cs="仿宋_GB2312"/>
          <w:sz w:val="32"/>
          <w:szCs w:val="32"/>
          <w:lang w:val="en-US" w:eastAsia="zh-CN"/>
        </w:rPr>
        <w:t>对提供互联网内容分发服务的，监督检查是否记录内容分发网络与内容源网络链接对应情况</w:t>
      </w:r>
      <w:r>
        <w:rPr>
          <w:rFonts w:hint="eastAsia" w:ascii="仿宋_GB2312" w:hAnsi="仿宋_GB2312" w:eastAsia="仿宋_GB2312" w:cs="仿宋_GB2312"/>
          <w:sz w:val="32"/>
          <w:szCs w:val="32"/>
          <w:lang w:val="en-US" w:eastAsia="zh-CN"/>
        </w:rPr>
        <w:t>。</w:t>
      </w:r>
    </w:p>
    <w:p w14:paraId="3BD18A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w:t>
      </w:r>
      <w:r>
        <w:rPr>
          <w:rFonts w:hint="default" w:ascii="仿宋_GB2312" w:hAnsi="仿宋_GB2312" w:eastAsia="仿宋_GB2312" w:cs="仿宋_GB2312"/>
          <w:sz w:val="32"/>
          <w:szCs w:val="32"/>
          <w:lang w:val="en-US" w:eastAsia="zh-CN"/>
        </w:rPr>
        <w:t>是否按照法律规定的要求为公安机关依法维护国家安全、防范调查恐怖活动、侦查犯罪提供技术支持和协助</w:t>
      </w:r>
      <w:r>
        <w:rPr>
          <w:rFonts w:hint="eastAsia" w:ascii="仿宋_GB2312" w:hAnsi="仿宋_GB2312" w:eastAsia="仿宋_GB2312" w:cs="仿宋_GB2312"/>
          <w:sz w:val="32"/>
          <w:szCs w:val="32"/>
          <w:lang w:val="en-US" w:eastAsia="zh-CN"/>
        </w:rPr>
        <w:t>。</w:t>
      </w:r>
    </w:p>
    <w:p w14:paraId="0E750B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w:t>
      </w:r>
      <w:r>
        <w:rPr>
          <w:rFonts w:hint="default" w:ascii="仿宋_GB2312" w:hAnsi="仿宋_GB2312" w:eastAsia="仿宋_GB2312" w:cs="仿宋_GB2312"/>
          <w:sz w:val="32"/>
          <w:szCs w:val="32"/>
          <w:lang w:val="en-US" w:eastAsia="zh-CN"/>
        </w:rPr>
        <w:t>是否采取防范计算机病毒和网络攻击、网络侵入等技术措施</w:t>
      </w:r>
      <w:r>
        <w:rPr>
          <w:rFonts w:hint="eastAsia" w:ascii="仿宋_GB2312" w:hAnsi="仿宋_GB2312" w:eastAsia="仿宋_GB2312" w:cs="仿宋_GB2312"/>
          <w:sz w:val="32"/>
          <w:szCs w:val="32"/>
          <w:lang w:val="en-US" w:eastAsia="zh-CN"/>
        </w:rPr>
        <w:t>。</w:t>
      </w:r>
    </w:p>
    <w:p w14:paraId="08228C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w:t>
      </w:r>
      <w:r>
        <w:rPr>
          <w:rFonts w:hint="default" w:ascii="仿宋_GB2312" w:hAnsi="仿宋_GB2312" w:eastAsia="仿宋_GB2312" w:cs="仿宋_GB2312"/>
          <w:sz w:val="32"/>
          <w:szCs w:val="32"/>
          <w:lang w:val="en-US" w:eastAsia="zh-CN"/>
        </w:rPr>
        <w:t>是否在公共信息服务中对法律、行政法规禁止发布或者传输的信息依法采取相关防范措施</w:t>
      </w:r>
      <w:r>
        <w:rPr>
          <w:rFonts w:hint="eastAsia" w:ascii="仿宋_GB2312" w:hAnsi="仿宋_GB2312" w:eastAsia="仿宋_GB2312" w:cs="仿宋_GB2312"/>
          <w:sz w:val="32"/>
          <w:szCs w:val="32"/>
          <w:lang w:val="en-US" w:eastAsia="zh-CN"/>
        </w:rPr>
        <w:t>。</w:t>
      </w:r>
    </w:p>
    <w:p w14:paraId="4F96DF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二十三、对互联网信息服务安全检查</w:t>
      </w:r>
    </w:p>
    <w:p w14:paraId="31FDD7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23C1F4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《中华人民共和国网络安全法》第二十一条、二十五条、二十八条、四十七条、四十九条；《互联网安全保护技术措施规定》第七、九条。</w:t>
      </w:r>
    </w:p>
    <w:p w14:paraId="1D96B2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36EC86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是否采取防范计算机病毒和网络攻击、网络侵入等技术措施</w:t>
      </w:r>
      <w:r>
        <w:rPr>
          <w:rFonts w:hint="eastAsia" w:ascii="仿宋_GB2312" w:hAnsi="仿宋_GB2312" w:eastAsia="仿宋_GB2312" w:cs="仿宋_GB2312"/>
          <w:sz w:val="32"/>
          <w:szCs w:val="32"/>
          <w:lang w:val="en-US" w:eastAsia="zh-CN"/>
        </w:rPr>
        <w:t>。</w:t>
      </w:r>
    </w:p>
    <w:p w14:paraId="6FBE55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是否制定并落实网络安全管理制度和操作规程，确定网络安全负责人</w:t>
      </w:r>
      <w:r>
        <w:rPr>
          <w:rFonts w:hint="eastAsia" w:ascii="仿宋_GB2312" w:hAnsi="仿宋_GB2312" w:eastAsia="仿宋_GB2312" w:cs="仿宋_GB2312"/>
          <w:sz w:val="32"/>
          <w:szCs w:val="32"/>
          <w:lang w:val="en-US" w:eastAsia="zh-CN"/>
        </w:rPr>
        <w:t>。</w:t>
      </w:r>
    </w:p>
    <w:p w14:paraId="0A5589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是否依法采取记录并留存用户注册信息和上网日志信息的技术措施，并留存相关网络日志不少于六个月</w:t>
      </w:r>
      <w:r>
        <w:rPr>
          <w:rFonts w:hint="eastAsia" w:ascii="仿宋_GB2312" w:hAnsi="仿宋_GB2312" w:eastAsia="仿宋_GB2312" w:cs="仿宋_GB2312"/>
          <w:sz w:val="32"/>
          <w:szCs w:val="32"/>
          <w:lang w:val="en-US" w:eastAsia="zh-CN"/>
        </w:rPr>
        <w:t>。</w:t>
      </w:r>
    </w:p>
    <w:p w14:paraId="3EEA0B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是否依法采取重大网络安全保卫任务所需要的其他网络安全防范措施</w:t>
      </w:r>
      <w:r>
        <w:rPr>
          <w:rFonts w:hint="eastAsia" w:ascii="仿宋_GB2312" w:hAnsi="仿宋_GB2312" w:eastAsia="仿宋_GB2312" w:cs="仿宋_GB2312"/>
          <w:sz w:val="32"/>
          <w:szCs w:val="32"/>
          <w:lang w:val="en-US" w:eastAsia="zh-CN"/>
        </w:rPr>
        <w:t>。</w:t>
      </w:r>
    </w:p>
    <w:p w14:paraId="471DF2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是否在公共信息服务中对法律、行政法规禁止发布或者传输的信息依法采取相关防范措施</w:t>
      </w:r>
      <w:r>
        <w:rPr>
          <w:rFonts w:hint="eastAsia" w:ascii="仿宋_GB2312" w:hAnsi="仿宋_GB2312" w:eastAsia="仿宋_GB2312" w:cs="仿宋_GB2312"/>
          <w:sz w:val="32"/>
          <w:szCs w:val="32"/>
          <w:lang w:val="en-US" w:eastAsia="zh-CN"/>
        </w:rPr>
        <w:t>。</w:t>
      </w:r>
    </w:p>
    <w:p w14:paraId="401202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是否制定重大网络安全保卫任务所要求的工作方案、明确网络安全责任分工并确定网络安全管理人员</w:t>
      </w:r>
      <w:r>
        <w:rPr>
          <w:rFonts w:hint="eastAsia" w:ascii="仿宋_GB2312" w:hAnsi="仿宋_GB2312" w:eastAsia="仿宋_GB2312" w:cs="仿宋_GB2312"/>
          <w:sz w:val="32"/>
          <w:szCs w:val="32"/>
          <w:lang w:val="en-US" w:eastAsia="zh-CN"/>
        </w:rPr>
        <w:t>。</w:t>
      </w:r>
    </w:p>
    <w:p w14:paraId="4636F3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是否组织开展网络安全风险评估，并采取相应风险管控措施堵塞网络安全漏洞隐患</w:t>
      </w:r>
      <w:r>
        <w:rPr>
          <w:rFonts w:hint="eastAsia" w:ascii="仿宋_GB2312" w:hAnsi="仿宋_GB2312" w:eastAsia="仿宋_GB2312" w:cs="仿宋_GB2312"/>
          <w:sz w:val="32"/>
          <w:szCs w:val="32"/>
          <w:lang w:val="en-US" w:eastAsia="zh-CN"/>
        </w:rPr>
        <w:t>。</w:t>
      </w:r>
    </w:p>
    <w:p w14:paraId="0D81E5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是否制定网络安全应急处置预案并组织开展应急演练，应急处置相关设施是否完备有效</w:t>
      </w:r>
      <w:r>
        <w:rPr>
          <w:rFonts w:hint="eastAsia" w:ascii="仿宋_GB2312" w:hAnsi="仿宋_GB2312" w:eastAsia="仿宋_GB2312" w:cs="仿宋_GB2312"/>
          <w:sz w:val="32"/>
          <w:szCs w:val="32"/>
          <w:lang w:val="en-US" w:eastAsia="zh-CN"/>
        </w:rPr>
        <w:t>。</w:t>
      </w:r>
    </w:p>
    <w:p w14:paraId="64014C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en-US" w:eastAsia="zh-CN"/>
        </w:rPr>
        <w:t>是否按照法律规定的要求为公安机关依法维护国家安全、防范调查恐怖活动、侦查犯罪提供技术支持和协助</w:t>
      </w:r>
      <w:r>
        <w:rPr>
          <w:rFonts w:hint="eastAsia" w:ascii="仿宋_GB2312" w:hAnsi="仿宋_GB2312" w:eastAsia="仿宋_GB2312" w:cs="仿宋_GB2312"/>
          <w:sz w:val="32"/>
          <w:szCs w:val="32"/>
          <w:lang w:val="en-US" w:eastAsia="zh-CN"/>
        </w:rPr>
        <w:t>。</w:t>
      </w:r>
    </w:p>
    <w:p w14:paraId="4C6A2A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en-US" w:eastAsia="zh-CN"/>
        </w:rPr>
        <w:t>对提供互联网信息服务的，检查是否依法采取用户发布信息管理措施，是否对已发布或传输的法律、行政法规禁止发布或传输的信息依法采取处置措施并保存相关记录</w:t>
      </w:r>
      <w:r>
        <w:rPr>
          <w:rFonts w:hint="eastAsia" w:ascii="仿宋_GB2312" w:hAnsi="仿宋_GB2312" w:eastAsia="仿宋_GB2312" w:cs="仿宋_GB2312"/>
          <w:sz w:val="32"/>
          <w:szCs w:val="32"/>
          <w:lang w:val="en-US" w:eastAsia="zh-CN"/>
        </w:rPr>
        <w:t>。</w:t>
      </w:r>
    </w:p>
    <w:p w14:paraId="20F611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w:t>
      </w:r>
      <w:r>
        <w:rPr>
          <w:rFonts w:hint="default" w:ascii="仿宋_GB2312" w:hAnsi="仿宋_GB2312" w:eastAsia="仿宋_GB2312" w:cs="仿宋_GB2312"/>
          <w:sz w:val="32"/>
          <w:szCs w:val="32"/>
          <w:lang w:val="en-US" w:eastAsia="zh-CN"/>
        </w:rPr>
        <w:t>是否按照要求向公安机关报告网络安全防范措施及落实情况</w:t>
      </w:r>
      <w:r>
        <w:rPr>
          <w:rFonts w:hint="eastAsia" w:ascii="仿宋_GB2312" w:hAnsi="仿宋_GB2312" w:eastAsia="仿宋_GB2312" w:cs="仿宋_GB2312"/>
          <w:sz w:val="32"/>
          <w:szCs w:val="32"/>
          <w:lang w:val="en-US" w:eastAsia="zh-CN"/>
        </w:rPr>
        <w:t>。</w:t>
      </w:r>
    </w:p>
    <w:p w14:paraId="227ABD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二十四、对计算机病毒防治工作的检查</w:t>
      </w:r>
    </w:p>
    <w:p w14:paraId="4EE37E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26F358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《中华人民共和国网络安全法》第二十一、二十五条；《公安机关互联网安全监督检查规定》（公安部令第151号）第十条；《计算机病毒防治管理办法》（2000年公安部令第51号）第十五条。</w:t>
      </w:r>
    </w:p>
    <w:p w14:paraId="4BAE21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62CF22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是否建立网络安全事件应急预案，及时处置系统漏洞、计算机病毒、网络攻击、网络侵入等安全风险</w:t>
      </w:r>
      <w:r>
        <w:rPr>
          <w:rFonts w:hint="eastAsia" w:ascii="仿宋_GB2312" w:hAnsi="仿宋_GB2312" w:eastAsia="仿宋_GB2312" w:cs="仿宋_GB2312"/>
          <w:sz w:val="32"/>
          <w:szCs w:val="32"/>
          <w:lang w:val="en-US" w:eastAsia="zh-CN"/>
        </w:rPr>
        <w:t>。</w:t>
      </w:r>
    </w:p>
    <w:p w14:paraId="12FD2D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是否采取防范计算机病毒和网络攻击、网络侵入等危害网络安全行为的技术措施</w:t>
      </w:r>
      <w:r>
        <w:rPr>
          <w:rFonts w:hint="eastAsia" w:ascii="仿宋_GB2312" w:hAnsi="仿宋_GB2312" w:eastAsia="仿宋_GB2312" w:cs="仿宋_GB2312"/>
          <w:sz w:val="32"/>
          <w:szCs w:val="32"/>
          <w:lang w:val="en-US" w:eastAsia="zh-CN"/>
        </w:rPr>
        <w:t>。</w:t>
      </w:r>
    </w:p>
    <w:p w14:paraId="377703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是否制定内部安全管理制度和操作规程，确定网络安全负责人，落实网络安全保护责任</w:t>
      </w:r>
      <w:r>
        <w:rPr>
          <w:rFonts w:hint="eastAsia" w:ascii="仿宋_GB2312" w:hAnsi="仿宋_GB2312" w:eastAsia="仿宋_GB2312" w:cs="仿宋_GB2312"/>
          <w:sz w:val="32"/>
          <w:szCs w:val="32"/>
          <w:lang w:val="en-US" w:eastAsia="zh-CN"/>
        </w:rPr>
        <w:t>。</w:t>
      </w:r>
    </w:p>
    <w:p w14:paraId="406B3B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二十五、</w:t>
      </w:r>
      <w:r>
        <w:rPr>
          <w:rFonts w:hint="default" w:ascii="黑体" w:hAnsi="黑体" w:eastAsia="黑体" w:cs="黑体"/>
          <w:sz w:val="32"/>
          <w:szCs w:val="32"/>
          <w:lang w:val="en-US" w:eastAsia="zh-CN"/>
        </w:rPr>
        <w:t>对计算机信息系统安全检查</w:t>
      </w:r>
    </w:p>
    <w:p w14:paraId="329049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（一）检查依据</w:t>
      </w:r>
    </w:p>
    <w:p w14:paraId="165FF6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《中华人民共和国网络安全法》第二十一、二十五条。</w:t>
      </w:r>
    </w:p>
    <w:p w14:paraId="0516C9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（二）检查标准</w:t>
      </w:r>
    </w:p>
    <w:p w14:paraId="070634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检查目标系统是否落实防病毒、防攻击、防篡改等技术措施，是否存在网络安全隐患漏洞</w:t>
      </w:r>
      <w:r>
        <w:rPr>
          <w:rFonts w:hint="eastAsia" w:ascii="仿宋_GB2312" w:hAnsi="仿宋_GB2312" w:eastAsia="仿宋_GB2312" w:cs="仿宋_GB2312"/>
          <w:sz w:val="32"/>
          <w:szCs w:val="32"/>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B7D293"/>
    <w:rsid w:val="0B291723"/>
    <w:rsid w:val="0FF37C9C"/>
    <w:rsid w:val="15B46A8F"/>
    <w:rsid w:val="1C1E17C9"/>
    <w:rsid w:val="21D36E98"/>
    <w:rsid w:val="299A67A7"/>
    <w:rsid w:val="2C635469"/>
    <w:rsid w:val="47BE1BA1"/>
    <w:rsid w:val="4A7345DC"/>
    <w:rsid w:val="57625F9D"/>
    <w:rsid w:val="5E3D4F22"/>
    <w:rsid w:val="6084420D"/>
    <w:rsid w:val="63F83144"/>
    <w:rsid w:val="6635067F"/>
    <w:rsid w:val="683765DA"/>
    <w:rsid w:val="6A905041"/>
    <w:rsid w:val="6B9D8018"/>
    <w:rsid w:val="6BC12EB8"/>
    <w:rsid w:val="6BF1CCDD"/>
    <w:rsid w:val="6F567B23"/>
    <w:rsid w:val="70D1388C"/>
    <w:rsid w:val="724A3704"/>
    <w:rsid w:val="729658A2"/>
    <w:rsid w:val="73817A6B"/>
    <w:rsid w:val="F7B7D293"/>
    <w:rsid w:val="F9FE68EB"/>
    <w:rsid w:val="FFBE72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8766</Words>
  <Characters>9165</Characters>
  <Lines>0</Lines>
  <Paragraphs>0</Paragraphs>
  <TotalTime>23</TotalTime>
  <ScaleCrop>false</ScaleCrop>
  <LinksUpToDate>false</LinksUpToDate>
  <CharactersWithSpaces>9167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2026-03-19T18:47:00Z</dcterms:created>
  <dc:creator>administrator</dc:creator>
  <cp:lastModifiedBy>BoBoBo</cp:lastModifiedBy>
  <dcterms:modified xsi:type="dcterms:W3CDTF">2026-09-02T02:18:26Z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74A0CA057F834E8B80643FCB7DC90E2D_13</vt:lpwstr>
  </property>
  <property fmtid="{D5CDD505-2E9C-101B-9397-08002B2CF9AE}" pid="4" name="KSOTemplateDocerSaveRecord">
    <vt:lpwstr>eyJoZGlkIjoiOTIwMzcyZmFlN2YzZDdkMGE4OGM2MDg0MzA3NTQ2MTMiLCJ1c2VySWQiOiIzMjYzOTQ5NTMifQ==</vt:lpwstr>
  </property>
</Properties>
</file>